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3318B">
      <w:pPr>
        <w:jc w:val="center"/>
        <w:rPr>
          <w:rFonts w:hint="eastAsia" w:ascii="仿宋" w:hAnsi="仿宋" w:eastAsia="仿宋" w:cs="仿宋"/>
          <w:b/>
          <w:bCs/>
          <w:sz w:val="72"/>
          <w:szCs w:val="72"/>
        </w:rPr>
      </w:pPr>
      <w:r>
        <w:rPr>
          <w:rFonts w:hint="eastAsia" w:ascii="仿宋" w:hAnsi="仿宋" w:eastAsia="仿宋" w:cs="仿宋"/>
          <w:b/>
          <w:bCs/>
          <w:sz w:val="72"/>
          <w:szCs w:val="72"/>
        </w:rPr>
        <w:t>“智联世界”</w:t>
      </w:r>
    </w:p>
    <w:p w14:paraId="3DC07C9C">
      <w:pPr>
        <w:jc w:val="center"/>
        <w:rPr>
          <w:rFonts w:hint="eastAsia" w:ascii="仿宋" w:hAnsi="仿宋" w:eastAsia="仿宋" w:cs="仿宋"/>
          <w:b/>
          <w:bCs/>
          <w:sz w:val="72"/>
          <w:szCs w:val="72"/>
        </w:rPr>
      </w:pPr>
      <w:r>
        <w:rPr>
          <w:rFonts w:hint="eastAsia" w:ascii="仿宋" w:hAnsi="仿宋" w:eastAsia="仿宋" w:cs="仿宋"/>
          <w:b/>
          <w:bCs/>
          <w:sz w:val="72"/>
          <w:szCs w:val="72"/>
        </w:rPr>
        <w:t>挑战赛规则</w:t>
      </w:r>
    </w:p>
    <w:p w14:paraId="1C7941B8">
      <w:pPr>
        <w:jc w:val="center"/>
        <w:rPr>
          <w:rFonts w:hint="eastAsia" w:ascii="仿宋" w:hAnsi="仿宋" w:eastAsia="仿宋" w:cs="仿宋"/>
          <w:b/>
          <w:bCs/>
          <w:sz w:val="28"/>
          <w:szCs w:val="28"/>
        </w:rPr>
      </w:pPr>
      <w:r>
        <w:drawing>
          <wp:anchor distT="0" distB="0" distL="114300" distR="114300" simplePos="0" relativeHeight="251659264" behindDoc="0" locked="0" layoutInCell="1" allowOverlap="1">
            <wp:simplePos x="0" y="0"/>
            <wp:positionH relativeFrom="column">
              <wp:posOffset>4117975</wp:posOffset>
            </wp:positionH>
            <wp:positionV relativeFrom="paragraph">
              <wp:posOffset>90805</wp:posOffset>
            </wp:positionV>
            <wp:extent cx="819785" cy="389890"/>
            <wp:effectExtent l="0" t="0" r="0" b="1079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819785" cy="389890"/>
                    </a:xfrm>
                    <a:prstGeom prst="rect">
                      <a:avLst/>
                    </a:prstGeom>
                  </pic:spPr>
                </pic:pic>
              </a:graphicData>
            </a:graphic>
          </wp:anchor>
        </w:drawing>
      </w:r>
    </w:p>
    <w:p w14:paraId="72DAE989">
      <w:pPr>
        <w:jc w:val="center"/>
        <w:rPr>
          <w:rFonts w:hint="eastAsia" w:ascii="仿宋" w:hAnsi="仿宋" w:eastAsia="仿宋" w:cs="仿宋"/>
          <w:b/>
          <w:bCs/>
          <w:sz w:val="28"/>
          <w:szCs w:val="28"/>
        </w:rPr>
      </w:pPr>
    </w:p>
    <w:p w14:paraId="533E27BA">
      <w:pPr>
        <w:widowControl/>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一、比赛主题</w:t>
      </w:r>
    </w:p>
    <w:p w14:paraId="0C6DF88D">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本届赛事的主题是“智联世界-绿色航道”，旨在深化“一带一路”可持续发展合作，推动全球物流领域绿色转型，共创人与自然和谐共生的未来。</w:t>
      </w:r>
    </w:p>
    <w:p w14:paraId="6564D4DE">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在当前全球气候治理与低碳发展日益紧迫的背景下，中国积极响应“双碳”目标，与国际社会共同探索绿色创新路径。作为全球可持续发展的坚定推动者，中国致力于将数字化与绿色化深度融合，以科技赋能全球供应链，构建高效、低碳、韧性的新型物流体系。</w:t>
      </w:r>
    </w:p>
    <w:p w14:paraId="75E0A621">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中国坚持共商共建共享原则，推动“一带一路”绿色基础设施互联互通，加强在新能源应用、碳足迹管理、循环经济等领域的国际合作。同时，中国倡导以数字技术优化物流效率，通过物联网、人工智能、大数据等手段降低能源消耗与排放，助力全球应对气候变化挑战，携手共建人与自然生命共同体。</w:t>
      </w:r>
    </w:p>
    <w:p w14:paraId="5C629CE7">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中国文化历来崇尚“天人合一”，追求人与自然的和谐共处。中国通过技术交流、标准共建和人才合作，与世界各国分享绿色物流创新实践，促进全球绿色文明互鉴。此外，中国还在智慧交通、低碳能源、数字化供应链等领域开展广泛国际合作，为全球绿色转型提供中国方案，共同迈向可持续的未来。</w:t>
      </w:r>
      <w:r>
        <w:rPr>
          <w:rFonts w:hint="eastAsia" w:ascii="仿宋" w:hAnsi="仿宋" w:eastAsia="仿宋" w:cs="仿宋"/>
          <w:color w:val="000000"/>
          <w:kern w:val="0"/>
          <w:sz w:val="28"/>
          <w:szCs w:val="28"/>
          <w:lang w:bidi="ar"/>
        </w:rPr>
        <w:br w:type="textWrapping"/>
      </w:r>
    </w:p>
    <w:p w14:paraId="4E2A2029">
      <w:pPr>
        <w:widowControl/>
        <w:numPr>
          <w:ilvl w:val="0"/>
          <w:numId w:val="1"/>
        </w:numPr>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比赛场地与环境</w:t>
      </w:r>
    </w:p>
    <w:p w14:paraId="4120A15B">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2.1 场地 </w:t>
      </w:r>
    </w:p>
    <w:p w14:paraId="1BDAFF72">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场地布局：场地规格约为总长 240cm×总宽 120cm，单个场地上包含有“出发区”、“能量补给”、“生态保护区”、“垃圾分类中心”、“绿色启航区”、“志愿者工作区”、“碳中和目标点”等区域，以及“智能电网”、“水槽”、“安全平台”、“有害垃圾”、“普通垃圾”、“水资源”等道具。</w:t>
      </w:r>
    </w:p>
    <w:p w14:paraId="3B8674A8">
      <w:pPr>
        <w:widowControl/>
        <w:rPr>
          <w:rFonts w:hint="eastAsia" w:ascii="仿宋" w:hAnsi="仿宋" w:eastAsia="仿宋" w:cs="仿宋"/>
          <w:b/>
          <w:bCs/>
          <w:color w:val="000000"/>
          <w:kern w:val="0"/>
          <w:sz w:val="28"/>
          <w:szCs w:val="28"/>
          <w:lang w:bidi="ar"/>
        </w:rPr>
      </w:pPr>
      <w:r>
        <w:rPr>
          <w:rFonts w:ascii="仿宋" w:hAnsi="仿宋" w:eastAsia="仿宋" w:cs="仿宋"/>
          <w:b/>
          <w:bCs/>
          <w:color w:val="000000"/>
          <w:kern w:val="0"/>
          <w:sz w:val="28"/>
          <w:szCs w:val="28"/>
          <w:lang w:bidi="ar"/>
        </w:rPr>
        <w:drawing>
          <wp:inline distT="0" distB="0" distL="0" distR="0">
            <wp:extent cx="5274310" cy="2637155"/>
            <wp:effectExtent l="0" t="0" r="2540" b="0"/>
            <wp:docPr id="1011926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926377"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274310" cy="2637155"/>
                    </a:xfrm>
                    <a:prstGeom prst="rect">
                      <a:avLst/>
                    </a:prstGeom>
                    <a:noFill/>
                    <a:ln>
                      <a:noFill/>
                    </a:ln>
                  </pic:spPr>
                </pic:pic>
              </a:graphicData>
            </a:graphic>
          </wp:inline>
        </w:drawing>
      </w:r>
    </w:p>
    <w:p w14:paraId="30362C5F">
      <w:pPr>
        <w:widowControl/>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（智联世界-绿色航道赛台地图）</w:t>
      </w:r>
    </w:p>
    <w:p w14:paraId="2950FC19">
      <w:pPr>
        <w:widowControl/>
        <w:ind w:firstLine="840" w:firstLineChars="300"/>
        <w:jc w:val="left"/>
        <w:rPr>
          <w:rFonts w:hint="eastAsia" w:ascii="仿宋" w:hAnsi="仿宋" w:eastAsia="仿宋" w:cs="仿宋"/>
          <w:color w:val="000000"/>
          <w:kern w:val="0"/>
          <w:sz w:val="28"/>
          <w:szCs w:val="28"/>
          <w:lang w:bidi="ar"/>
        </w:rPr>
      </w:pPr>
    </w:p>
    <w:p w14:paraId="22E41EC7">
      <w:pPr>
        <w:widowControl/>
        <w:numPr>
          <w:ilvl w:val="0"/>
          <w:numId w:val="2"/>
        </w:numPr>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通过“绿色启航”</w:t>
      </w:r>
    </w:p>
    <w:p w14:paraId="247D8E03">
      <w:pPr>
        <w:widowControl/>
        <w:numPr>
          <w:ilvl w:val="0"/>
          <w:numId w:val="2"/>
        </w:numPr>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激活“能量补给”的智能电网进行能源再生</w:t>
      </w:r>
    </w:p>
    <w:p w14:paraId="7FBDDB22">
      <w:pPr>
        <w:widowControl/>
        <w:numPr>
          <w:ilvl w:val="0"/>
          <w:numId w:val="2"/>
        </w:numPr>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将不同类型垃圾进行分类放到“垃圾分类中心”</w:t>
      </w:r>
    </w:p>
    <w:p w14:paraId="318CA395">
      <w:pPr>
        <w:widowControl/>
        <w:numPr>
          <w:ilvl w:val="0"/>
          <w:numId w:val="2"/>
        </w:numPr>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释放“水源提取”中的水资源道具</w:t>
      </w:r>
    </w:p>
    <w:p w14:paraId="7B6C6B42">
      <w:pPr>
        <w:widowControl/>
        <w:numPr>
          <w:ilvl w:val="0"/>
          <w:numId w:val="2"/>
        </w:numPr>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将“志愿者救援”区域的外籍环保志愿者送到安全平台顶点</w:t>
      </w:r>
    </w:p>
    <w:p w14:paraId="095BC4E8">
      <w:pPr>
        <w:widowControl/>
        <w:numPr>
          <w:ilvl w:val="0"/>
          <w:numId w:val="2"/>
        </w:numPr>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将两个机器人分别停靠在“碳中和目标点”</w:t>
      </w:r>
    </w:p>
    <w:p w14:paraId="209DAA8F">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任务1道具：绿色航道</w:t>
      </w:r>
    </w:p>
    <w:p w14:paraId="5BA50537">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drawing>
          <wp:inline distT="0" distB="0" distL="0" distR="0">
            <wp:extent cx="3413125" cy="2560320"/>
            <wp:effectExtent l="0" t="0" r="0" b="0"/>
            <wp:docPr id="78437463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374634"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418594" cy="2564151"/>
                    </a:xfrm>
                    <a:prstGeom prst="rect">
                      <a:avLst/>
                    </a:prstGeom>
                    <a:noFill/>
                    <a:ln>
                      <a:noFill/>
                    </a:ln>
                  </pic:spPr>
                </pic:pic>
              </a:graphicData>
            </a:graphic>
          </wp:inline>
        </w:drawing>
      </w:r>
    </w:p>
    <w:p w14:paraId="64C603F1">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任务2道具：智能电网</w:t>
      </w:r>
    </w:p>
    <w:p w14:paraId="1B922326">
      <w:pPr>
        <w:widowControl/>
        <w:jc w:val="left"/>
        <w:rPr>
          <w:rFonts w:hint="eastAsia" w:ascii="仿宋" w:hAnsi="仿宋" w:eastAsia="仿宋" w:cs="仿宋"/>
          <w:color w:val="000000"/>
          <w:kern w:val="0"/>
          <w:sz w:val="28"/>
          <w:szCs w:val="28"/>
          <w:lang w:bidi="ar"/>
        </w:rPr>
      </w:pPr>
      <w:r>
        <w:drawing>
          <wp:inline distT="0" distB="0" distL="0" distR="0">
            <wp:extent cx="1851660" cy="2807335"/>
            <wp:effectExtent l="0" t="0" r="0" b="0"/>
            <wp:docPr id="18702368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236830"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855496" cy="2813348"/>
                    </a:xfrm>
                    <a:prstGeom prst="rect">
                      <a:avLst/>
                    </a:prstGeom>
                  </pic:spPr>
                </pic:pic>
              </a:graphicData>
            </a:graphic>
          </wp:inline>
        </w:drawing>
      </w:r>
      <w:r>
        <w:rPr>
          <w:rFonts w:hint="eastAsia" w:ascii="仿宋" w:hAnsi="仿宋" w:eastAsia="仿宋" w:cs="仿宋"/>
          <w:color w:val="000000"/>
          <w:kern w:val="0"/>
          <w:sz w:val="28"/>
          <w:szCs w:val="28"/>
          <w:lang w:bidi="ar"/>
        </w:rPr>
        <w:t xml:space="preserve">    </w:t>
      </w:r>
    </w:p>
    <w:p w14:paraId="505B202D">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任务3道具：有害垃圾（红色）、普通垃圾（绿色）</w:t>
      </w:r>
    </w:p>
    <w:p w14:paraId="52EE411A">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 </w:t>
      </w:r>
      <w:r>
        <w:rPr>
          <w:rFonts w:hint="eastAsia" w:ascii="仿宋" w:hAnsi="仿宋" w:eastAsia="仿宋" w:cs="仿宋"/>
          <w:color w:val="000000"/>
          <w:kern w:val="0"/>
          <w:sz w:val="28"/>
          <w:szCs w:val="28"/>
          <w:lang w:bidi="ar"/>
        </w:rPr>
        <w:drawing>
          <wp:inline distT="0" distB="0" distL="0" distR="0">
            <wp:extent cx="1798955" cy="911860"/>
            <wp:effectExtent l="0" t="0" r="0" b="0"/>
            <wp:docPr id="9406363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63630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l="17597" t="25566" r="17663" b="30677"/>
                    <a:stretch>
                      <a:fillRect/>
                    </a:stretch>
                  </pic:blipFill>
                  <pic:spPr>
                    <a:xfrm>
                      <a:off x="0" y="0"/>
                      <a:ext cx="1804248" cy="914557"/>
                    </a:xfrm>
                    <a:prstGeom prst="rect">
                      <a:avLst/>
                    </a:prstGeom>
                    <a:noFill/>
                    <a:ln>
                      <a:noFill/>
                    </a:ln>
                  </pic:spPr>
                </pic:pic>
              </a:graphicData>
            </a:graphic>
          </wp:inline>
        </w:drawing>
      </w:r>
      <w:r>
        <w:rPr>
          <w:rFonts w:hint="eastAsia" w:ascii="仿宋" w:hAnsi="仿宋" w:eastAsia="仿宋" w:cs="仿宋"/>
          <w:color w:val="000000"/>
          <w:kern w:val="0"/>
          <w:sz w:val="28"/>
          <w:szCs w:val="28"/>
          <w:lang w:bidi="ar"/>
        </w:rPr>
        <w:t xml:space="preserve">   </w:t>
      </w:r>
    </w:p>
    <w:p w14:paraId="10C14B65">
      <w:pPr>
        <w:widowControl/>
        <w:jc w:val="left"/>
        <w:rPr>
          <w:rFonts w:hint="eastAsia" w:ascii="仿宋" w:hAnsi="仿宋" w:eastAsia="仿宋" w:cs="仿宋"/>
          <w:color w:val="000000"/>
          <w:kern w:val="0"/>
          <w:sz w:val="28"/>
          <w:szCs w:val="28"/>
          <w:lang w:bidi="ar"/>
        </w:rPr>
      </w:pPr>
    </w:p>
    <w:p w14:paraId="19446BB9">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任务4道具：水槽和水资源</w:t>
      </w:r>
    </w:p>
    <w:p w14:paraId="70E5538C">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 </w:t>
      </w:r>
      <w:r>
        <w:rPr>
          <w:rFonts w:hint="eastAsia" w:ascii="仿宋" w:hAnsi="仿宋" w:eastAsia="仿宋" w:cs="仿宋"/>
          <w:color w:val="000000"/>
          <w:kern w:val="0"/>
          <w:sz w:val="28"/>
          <w:szCs w:val="28"/>
          <w:lang w:bidi="ar"/>
        </w:rPr>
        <w:drawing>
          <wp:inline distT="0" distB="0" distL="0" distR="0">
            <wp:extent cx="1988820" cy="1491615"/>
            <wp:effectExtent l="0" t="0" r="0" b="0"/>
            <wp:docPr id="7940124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12499"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92834" cy="1494746"/>
                    </a:xfrm>
                    <a:prstGeom prst="rect">
                      <a:avLst/>
                    </a:prstGeom>
                    <a:noFill/>
                    <a:ln>
                      <a:noFill/>
                    </a:ln>
                  </pic:spPr>
                </pic:pic>
              </a:graphicData>
            </a:graphic>
          </wp:inline>
        </w:drawing>
      </w:r>
    </w:p>
    <w:p w14:paraId="28C31CAB">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任务5道具：安全平台</w:t>
      </w:r>
    </w:p>
    <w:p w14:paraId="5A674B65">
      <w:pPr>
        <w:widowControl/>
        <w:jc w:val="left"/>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drawing>
          <wp:inline distT="0" distB="0" distL="0" distR="0">
            <wp:extent cx="2955925" cy="2217420"/>
            <wp:effectExtent l="0" t="0" r="0" b="0"/>
            <wp:docPr id="16537963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96308"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61957" cy="2221646"/>
                    </a:xfrm>
                    <a:prstGeom prst="rect">
                      <a:avLst/>
                    </a:prstGeom>
                    <a:noFill/>
                    <a:ln>
                      <a:noFill/>
                    </a:ln>
                  </pic:spPr>
                </pic:pic>
              </a:graphicData>
            </a:graphic>
          </wp:inline>
        </w:drawing>
      </w:r>
    </w:p>
    <w:p w14:paraId="55A2221D">
      <w:pPr>
        <w:widowControl/>
        <w:jc w:val="left"/>
        <w:rPr>
          <w:rFonts w:hint="eastAsia" w:ascii="仿宋" w:hAnsi="仿宋" w:eastAsia="仿宋" w:cs="仿宋"/>
          <w:color w:val="000000"/>
          <w:kern w:val="0"/>
          <w:sz w:val="28"/>
          <w:szCs w:val="28"/>
          <w:lang w:bidi="ar"/>
        </w:rPr>
      </w:pPr>
    </w:p>
    <w:p w14:paraId="47C443EC">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赛场四周采用塑料积木、木板或 EVA 制成围墙，用于防止机器人出界。围墙宽约为 3cm，高约为7cm。 场地内的道具均使用魔术贴或者双面胶固定在地图上（方块，基地内道具除外）。</w:t>
      </w:r>
    </w:p>
    <w:p w14:paraId="4F6E9398">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2.2 赛场环境 </w:t>
      </w:r>
    </w:p>
    <w:p w14:paraId="60210668">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机器人比赛场地环境为冷光源、低照度、无磁场干扰。但由于一般赛场环境的不确定因素较多，例如，场地表面可能有纹路和不平整，边框上有裂缝，光照条件有变化等等。参赛队在设计机器人时应考虑各种应对措施。</w:t>
      </w:r>
    </w:p>
    <w:p w14:paraId="6DFFBBF7">
      <w:pPr>
        <w:widowControl/>
        <w:jc w:val="left"/>
        <w:rPr>
          <w:rFonts w:hint="eastAsia" w:ascii="仿宋" w:hAnsi="仿宋" w:eastAsia="仿宋" w:cs="仿宋"/>
          <w:color w:val="000000"/>
          <w:kern w:val="0"/>
          <w:sz w:val="28"/>
          <w:szCs w:val="28"/>
          <w:lang w:bidi="ar"/>
        </w:rPr>
      </w:pPr>
    </w:p>
    <w:p w14:paraId="06DADA0F">
      <w:pPr>
        <w:widowControl/>
        <w:numPr>
          <w:ilvl w:val="0"/>
          <w:numId w:val="1"/>
        </w:numPr>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 xml:space="preserve">机器人任务及得分 </w:t>
      </w:r>
    </w:p>
    <w:p w14:paraId="14EC3783">
      <w:pPr>
        <w:widowControl/>
        <w:jc w:val="left"/>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3.1任务介绍及得分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4138"/>
        <w:gridCol w:w="3212"/>
      </w:tblGrid>
      <w:tr w14:paraId="6FEA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Pr>
          <w:p w14:paraId="451A49B2">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任务</w:t>
            </w:r>
          </w:p>
        </w:tc>
        <w:tc>
          <w:tcPr>
            <w:tcW w:w="4138" w:type="dxa"/>
          </w:tcPr>
          <w:p w14:paraId="1C8A18D8">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说明</w:t>
            </w:r>
          </w:p>
        </w:tc>
        <w:tc>
          <w:tcPr>
            <w:tcW w:w="3212" w:type="dxa"/>
          </w:tcPr>
          <w:p w14:paraId="78E7CE83">
            <w:pPr>
              <w:widowControl/>
              <w:jc w:val="center"/>
              <w:rPr>
                <w:rFonts w:hint="eastAsia"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得分与要求</w:t>
            </w:r>
          </w:p>
        </w:tc>
      </w:tr>
      <w:tr w14:paraId="6AAC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103F014A">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任务1</w:t>
            </w:r>
          </w:p>
        </w:tc>
        <w:tc>
          <w:tcPr>
            <w:tcW w:w="4138" w:type="dxa"/>
          </w:tcPr>
          <w:p w14:paraId="5C2139A4">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该任务要求机器人通过“绿色启航”，代表完成该任务。</w:t>
            </w:r>
          </w:p>
        </w:tc>
        <w:tc>
          <w:tcPr>
            <w:tcW w:w="3212" w:type="dxa"/>
          </w:tcPr>
          <w:p w14:paraId="01AD268B">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+10分。</w:t>
            </w:r>
          </w:p>
        </w:tc>
      </w:tr>
      <w:tr w14:paraId="6C148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6F2351DF">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任务2</w:t>
            </w:r>
          </w:p>
        </w:tc>
        <w:tc>
          <w:tcPr>
            <w:tcW w:w="4138" w:type="dxa"/>
          </w:tcPr>
          <w:p w14:paraId="3908D1D9">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该任务要求机器人将智能电网升起，代表完成该任务。</w:t>
            </w:r>
          </w:p>
        </w:tc>
        <w:tc>
          <w:tcPr>
            <w:tcW w:w="3212" w:type="dxa"/>
          </w:tcPr>
          <w:p w14:paraId="226732CC">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+20分</w:t>
            </w:r>
          </w:p>
        </w:tc>
      </w:tr>
      <w:tr w14:paraId="371E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69CF9F38">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任务3</w:t>
            </w:r>
          </w:p>
        </w:tc>
        <w:tc>
          <w:tcPr>
            <w:tcW w:w="4138" w:type="dxa"/>
          </w:tcPr>
          <w:p w14:paraId="5D1C12B7">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该任务要求机器人将垃圾分来放置在“垃圾处理中心”并返回启动区（道具部分接触虚线区域即算完成）。</w:t>
            </w:r>
          </w:p>
        </w:tc>
        <w:tc>
          <w:tcPr>
            <w:tcW w:w="3212" w:type="dxa"/>
          </w:tcPr>
          <w:p w14:paraId="1906DB7D">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完成“普通垃圾”的运输+20分，完成“有害垃圾”的运输+20分；总分40分。</w:t>
            </w:r>
          </w:p>
        </w:tc>
      </w:tr>
      <w:tr w14:paraId="16E7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3A2448F7">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任务4</w:t>
            </w:r>
          </w:p>
        </w:tc>
        <w:tc>
          <w:tcPr>
            <w:tcW w:w="4138" w:type="dxa"/>
          </w:tcPr>
          <w:p w14:paraId="1D100B6B">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该任务要求机器人将4个“水资源道具”从水槽中释放出来，代表完成该任务。</w:t>
            </w:r>
          </w:p>
        </w:tc>
        <w:tc>
          <w:tcPr>
            <w:tcW w:w="3212" w:type="dxa"/>
          </w:tcPr>
          <w:p w14:paraId="0B92B9A1">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每完成一个“水资源道具”的释放获得5分，总计20分，得分要求“水资源道具”完全脱离水槽。</w:t>
            </w:r>
          </w:p>
        </w:tc>
      </w:tr>
      <w:tr w14:paraId="4416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5C6DD744">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任务5</w:t>
            </w:r>
          </w:p>
        </w:tc>
        <w:tc>
          <w:tcPr>
            <w:tcW w:w="4138" w:type="dxa"/>
          </w:tcPr>
          <w:p w14:paraId="7CE837AC">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该任务要求机器人将安全平台底部的人仔从底部运送到顶部的平台上，代表完成该任务。</w:t>
            </w:r>
          </w:p>
        </w:tc>
        <w:tc>
          <w:tcPr>
            <w:tcW w:w="3212" w:type="dxa"/>
          </w:tcPr>
          <w:p w14:paraId="73ACB7DE">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完成人仔的运送工作获得30分；以全部任务完成或比赛时间结束时的状态计算。</w:t>
            </w:r>
          </w:p>
        </w:tc>
      </w:tr>
      <w:tr w14:paraId="1F209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37BF6076">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任务6</w:t>
            </w:r>
          </w:p>
        </w:tc>
        <w:tc>
          <w:tcPr>
            <w:tcW w:w="4138" w:type="dxa"/>
          </w:tcPr>
          <w:p w14:paraId="50A24848">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该任务要求参赛的两台机器人分别停靠在两个碳中和目标点，代表完成该任务。</w:t>
            </w:r>
          </w:p>
          <w:p w14:paraId="43E45959">
            <w:pPr>
              <w:widowControl/>
              <w:jc w:val="left"/>
              <w:rPr>
                <w:rFonts w:hint="eastAsia" w:ascii="仿宋" w:hAnsi="仿宋" w:eastAsia="仿宋" w:cs="仿宋"/>
                <w:color w:val="000000"/>
                <w:kern w:val="0"/>
                <w:szCs w:val="21"/>
                <w:lang w:bidi="ar"/>
              </w:rPr>
            </w:pPr>
            <w:r>
              <w:rPr>
                <w:rFonts w:hint="eastAsia" w:ascii="仿宋" w:hAnsi="仿宋" w:eastAsia="仿宋" w:cs="仿宋"/>
                <w:b/>
                <w:bCs/>
                <w:color w:val="auto"/>
                <w:kern w:val="0"/>
                <w:szCs w:val="21"/>
                <w:lang w:bidi="ar"/>
              </w:rPr>
              <w:t>注意：该任务完成后代表本轮挑战结束！</w:t>
            </w:r>
          </w:p>
        </w:tc>
        <w:tc>
          <w:tcPr>
            <w:tcW w:w="3212" w:type="dxa"/>
          </w:tcPr>
          <w:p w14:paraId="2A4473F0">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完成一台机器人的停靠任务获得15分，两台共计30分。要求车辆正投影完全进入碳中和目标点区域内。</w:t>
            </w:r>
          </w:p>
        </w:tc>
      </w:tr>
      <w:tr w14:paraId="749F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40837592">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任务7</w:t>
            </w:r>
          </w:p>
        </w:tc>
        <w:tc>
          <w:tcPr>
            <w:tcW w:w="4138" w:type="dxa"/>
          </w:tcPr>
          <w:p w14:paraId="0E4226D4">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 xml:space="preserve">该任务要求机器人以最少的重试来进行场地任务，机器人每重试一次扣除10分。 </w:t>
            </w:r>
          </w:p>
        </w:tc>
        <w:tc>
          <w:tcPr>
            <w:tcW w:w="3212" w:type="dxa"/>
          </w:tcPr>
          <w:p w14:paraId="1AD83CC1">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-10分（重试次数达到4次立即停止比赛）</w:t>
            </w:r>
          </w:p>
        </w:tc>
      </w:tr>
      <w:tr w14:paraId="5915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946" w:type="dxa"/>
            <w:vAlign w:val="center"/>
          </w:tcPr>
          <w:p w14:paraId="2A053F8D">
            <w:pPr>
              <w:widowControl/>
              <w:jc w:val="center"/>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任务8</w:t>
            </w:r>
          </w:p>
        </w:tc>
        <w:tc>
          <w:tcPr>
            <w:tcW w:w="4138" w:type="dxa"/>
          </w:tcPr>
          <w:p w14:paraId="2663C842">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该任务为时间任务，比赛时间为120秒，提起完成所有任务1秒，加1分，最高120分。</w:t>
            </w:r>
          </w:p>
        </w:tc>
        <w:tc>
          <w:tcPr>
            <w:tcW w:w="3212" w:type="dxa"/>
          </w:tcPr>
          <w:p w14:paraId="5D06631E">
            <w:pPr>
              <w:widowControl/>
              <w:jc w:val="left"/>
              <w:rPr>
                <w:rFonts w:hint="eastAsia" w:ascii="仿宋" w:hAnsi="仿宋" w:eastAsia="仿宋" w:cs="仿宋"/>
                <w:color w:val="000000"/>
                <w:kern w:val="0"/>
                <w:szCs w:val="21"/>
                <w:lang w:bidi="ar"/>
              </w:rPr>
            </w:pPr>
            <w:r>
              <w:rPr>
                <w:rFonts w:hint="eastAsia" w:ascii="仿宋" w:hAnsi="仿宋" w:eastAsia="仿宋" w:cs="仿宋"/>
                <w:color w:val="000000"/>
                <w:kern w:val="0"/>
                <w:szCs w:val="21"/>
                <w:lang w:bidi="ar"/>
              </w:rPr>
              <w:t>提前完成所有任务1秒，+1分。</w:t>
            </w:r>
          </w:p>
        </w:tc>
      </w:tr>
    </w:tbl>
    <w:p w14:paraId="23EF2605">
      <w:pPr>
        <w:widowControl/>
        <w:jc w:val="left"/>
        <w:rPr>
          <w:rFonts w:hint="eastAsia" w:ascii="仿宋" w:hAnsi="仿宋" w:eastAsia="仿宋" w:cs="仿宋"/>
          <w:b/>
          <w:bCs/>
          <w:color w:val="000000"/>
          <w:kern w:val="0"/>
          <w:sz w:val="28"/>
          <w:szCs w:val="28"/>
          <w:lang w:bidi="ar"/>
        </w:rPr>
      </w:pPr>
    </w:p>
    <w:p w14:paraId="289251C7">
      <w:pPr>
        <w:widowControl/>
        <w:jc w:val="left"/>
        <w:rPr>
          <w:rFonts w:hint="eastAsia" w:ascii="仿宋" w:hAnsi="仿宋" w:eastAsia="仿宋" w:cs="仿宋"/>
          <w:b/>
          <w:bCs/>
          <w:color w:val="000000"/>
          <w:kern w:val="0"/>
          <w:sz w:val="28"/>
          <w:szCs w:val="28"/>
          <w:lang w:bidi="ar"/>
        </w:rPr>
      </w:pPr>
    </w:p>
    <w:p w14:paraId="10580F78">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四、机器人要求 </w:t>
      </w:r>
    </w:p>
    <w:p w14:paraId="1BEA57F8">
      <w:pPr>
        <w:widowControl/>
        <w:jc w:val="left"/>
        <w:rPr>
          <w:rFonts w:hint="eastAsia" w:ascii="仿宋" w:hAnsi="仿宋" w:eastAsia="仿宋" w:cs="仿宋"/>
          <w:b/>
          <w:bCs/>
          <w:color w:val="000000"/>
          <w:kern w:val="0"/>
          <w:sz w:val="28"/>
          <w:szCs w:val="28"/>
          <w:lang w:eastAsia="zh-CN" w:bidi="ar"/>
        </w:rPr>
      </w:pPr>
      <w:r>
        <w:rPr>
          <w:rFonts w:hint="eastAsia" w:ascii="仿宋" w:hAnsi="仿宋" w:eastAsia="仿宋" w:cs="仿宋"/>
          <w:b/>
          <w:bCs/>
          <w:color w:val="000000"/>
          <w:kern w:val="0"/>
          <w:sz w:val="28"/>
          <w:szCs w:val="28"/>
          <w:lang w:bidi="ar"/>
        </w:rPr>
        <w:t xml:space="preserve">4.1 </w:t>
      </w:r>
      <w:r>
        <w:rPr>
          <w:rFonts w:hint="eastAsia" w:ascii="仿宋" w:hAnsi="仿宋" w:eastAsia="仿宋" w:cs="仿宋"/>
          <w:b/>
          <w:bCs/>
          <w:color w:val="000000"/>
          <w:kern w:val="0"/>
          <w:sz w:val="28"/>
          <w:szCs w:val="28"/>
          <w:lang w:eastAsia="zh-CN" w:bidi="ar"/>
        </w:rPr>
        <w:t>竞赛器材</w:t>
      </w:r>
    </w:p>
    <w:p w14:paraId="1D562FB5">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4.1.1</w:t>
      </w:r>
      <w:r>
        <w:rPr>
          <w:rFonts w:hint="eastAsia" w:ascii="仿宋" w:hAnsi="仿宋" w:eastAsia="仿宋" w:cs="仿宋"/>
          <w:color w:val="000000"/>
          <w:kern w:val="0"/>
          <w:sz w:val="28"/>
          <w:szCs w:val="28"/>
          <w:lang w:bidi="ar"/>
        </w:rPr>
        <w:t xml:space="preserve">活动所需材料限制使用格物系列套装，由各队伍自带，无需现场拼装。仅限塑胶拼插类积木、电机、遥控器、主控器、传感器及电池，不得添加其他任何器材，不得使用金属或 3D 打印结构件，不能有损坏对方机器人和活动场地的危险元件，但允许黏贴标识签纸，便于识别机器人。 </w:t>
      </w:r>
    </w:p>
    <w:p w14:paraId="0E7106AD">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4.1.2</w:t>
      </w:r>
      <w:r>
        <w:rPr>
          <w:rFonts w:hint="eastAsia" w:ascii="仿宋" w:hAnsi="仿宋" w:eastAsia="仿宋" w:cs="仿宋"/>
          <w:color w:val="000000"/>
          <w:kern w:val="0"/>
          <w:sz w:val="28"/>
          <w:szCs w:val="28"/>
          <w:lang w:bidi="ar"/>
        </w:rPr>
        <w:t xml:space="preserve">调试的机器人长、宽不能超过 25cm，高度不得超过 35cm，竞技时机器人可以变形超出以上尺寸限制。机器总电压不得超过 9v。 </w:t>
      </w:r>
    </w:p>
    <w:p w14:paraId="2119DF1C">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val="en-US" w:eastAsia="zh-CN" w:bidi="ar"/>
        </w:rPr>
        <w:t>4.1.3</w:t>
      </w:r>
      <w:r>
        <w:rPr>
          <w:rFonts w:hint="eastAsia" w:ascii="仿宋" w:hAnsi="仿宋" w:eastAsia="仿宋" w:cs="仿宋"/>
          <w:color w:val="000000"/>
          <w:kern w:val="0"/>
          <w:sz w:val="28"/>
          <w:szCs w:val="28"/>
          <w:lang w:bidi="ar"/>
        </w:rPr>
        <w:t xml:space="preserve">活动器材中不能含有说明书、胶水、胶布、金属螺丝（遥控器除外）、通讯设备（编程平板除外）等违规物品。所有零件不得以焊接、粘接、金属螺丝等方式组成部件。 </w:t>
      </w:r>
    </w:p>
    <w:p w14:paraId="7890FADA">
      <w:pPr>
        <w:widowControl/>
        <w:jc w:val="left"/>
        <w:rPr>
          <w:rFonts w:hint="eastAsia" w:ascii="仿宋" w:hAnsi="仿宋" w:eastAsia="仿宋" w:cs="仿宋"/>
          <w:color w:val="000000"/>
          <w:kern w:val="0"/>
          <w:sz w:val="28"/>
          <w:szCs w:val="28"/>
          <w:lang w:bidi="ar"/>
        </w:rPr>
      </w:pPr>
    </w:p>
    <w:p w14:paraId="6CF47A8C">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五、比赛赛制规则</w:t>
      </w:r>
    </w:p>
    <w:p w14:paraId="7A0E48B6">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5.1 参赛队 </w:t>
      </w:r>
    </w:p>
    <w:p w14:paraId="11087810">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5.1.1 活动以团队方式完成，每支队伍由2名选手和1名辅导老师组成。</w:t>
      </w:r>
    </w:p>
    <w:p w14:paraId="0CF2C0BA">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b/>
          <w:bCs/>
          <w:color w:val="000000"/>
          <w:kern w:val="0"/>
          <w:sz w:val="28"/>
          <w:szCs w:val="28"/>
          <w:lang w:bidi="ar"/>
        </w:rPr>
      </w:pPr>
      <w:r>
        <w:rPr>
          <w:rFonts w:hint="eastAsia" w:ascii="仿宋" w:hAnsi="仿宋" w:eastAsia="仿宋" w:cs="仿宋"/>
          <w:color w:val="000000"/>
          <w:kern w:val="0"/>
          <w:sz w:val="28"/>
          <w:szCs w:val="28"/>
          <w:lang w:bidi="ar"/>
        </w:rPr>
        <w:t>5.1.2 选手分为不同组别进行竞赛：</w:t>
      </w:r>
      <w:r>
        <w:rPr>
          <w:rFonts w:hint="eastAsia" w:ascii="仿宋" w:hAnsi="仿宋" w:eastAsia="仿宋" w:cs="仿宋"/>
          <w:b/>
          <w:bCs/>
          <w:color w:val="000000"/>
          <w:kern w:val="0"/>
          <w:sz w:val="28"/>
          <w:szCs w:val="28"/>
          <w:lang w:bidi="ar"/>
        </w:rPr>
        <w:t>小学组、初中组、高中组（含高职和高专）</w:t>
      </w:r>
    </w:p>
    <w:p w14:paraId="57D85AEA">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5.1.3</w:t>
      </w:r>
      <w:r>
        <w:rPr>
          <w:rFonts w:hint="eastAsia" w:ascii="仿宋" w:hAnsi="仿宋" w:eastAsia="仿宋" w:cs="仿宋"/>
          <w:b/>
          <w:bCs/>
          <w:color w:val="000000"/>
          <w:kern w:val="0"/>
          <w:sz w:val="28"/>
          <w:szCs w:val="28"/>
          <w:lang w:bidi="ar"/>
        </w:rPr>
        <w:t>小学组任务5和任务6既可使用遥控模式，也可使用编程模式完成（使用编程模式完成不额外加分），其余任务使用编程模式完成；初中组及高中组统一使用编程模式完成赛场任务。</w:t>
      </w:r>
      <w:r>
        <w:rPr>
          <w:rFonts w:hint="eastAsia" w:ascii="仿宋" w:hAnsi="仿宋" w:eastAsia="仿宋" w:cs="仿宋"/>
          <w:color w:val="000000"/>
          <w:kern w:val="0"/>
          <w:sz w:val="28"/>
          <w:szCs w:val="28"/>
          <w:lang w:bidi="ar"/>
        </w:rPr>
        <w:t xml:space="preserve"> </w:t>
      </w:r>
    </w:p>
    <w:p w14:paraId="22249774">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5.2 赛制 </w:t>
      </w:r>
    </w:p>
    <w:p w14:paraId="70D30BD0">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5.2.1 报到前，主办单位根据参加队伍数量，采用电脑自动抽签的方式，确定队伍编号。</w:t>
      </w:r>
      <w:r>
        <w:rPr>
          <w:rFonts w:hint="eastAsia" w:ascii="仿宋" w:hAnsi="仿宋" w:eastAsia="仿宋" w:cs="仿宋"/>
          <w:color w:val="000000"/>
          <w:kern w:val="0"/>
          <w:sz w:val="28"/>
          <w:szCs w:val="28"/>
          <w:lang w:eastAsia="zh-CN" w:bidi="ar"/>
        </w:rPr>
        <w:t>展示活动</w:t>
      </w:r>
      <w:r>
        <w:rPr>
          <w:rFonts w:hint="eastAsia" w:ascii="仿宋" w:hAnsi="仿宋" w:eastAsia="仿宋" w:cs="仿宋"/>
          <w:color w:val="000000"/>
          <w:kern w:val="0"/>
          <w:sz w:val="28"/>
          <w:szCs w:val="28"/>
          <w:lang w:bidi="ar"/>
        </w:rPr>
        <w:t>进行</w:t>
      </w:r>
      <w:r>
        <w:rPr>
          <w:rFonts w:hint="eastAsia" w:ascii="仿宋" w:hAnsi="仿宋" w:eastAsia="仿宋" w:cs="仿宋"/>
          <w:color w:val="000000"/>
          <w:kern w:val="0"/>
          <w:sz w:val="28"/>
          <w:szCs w:val="28"/>
          <w:lang w:val="en-US" w:eastAsia="zh-CN" w:bidi="ar"/>
        </w:rPr>
        <w:t>两</w:t>
      </w:r>
      <w:r>
        <w:rPr>
          <w:rFonts w:hint="eastAsia" w:ascii="仿宋" w:hAnsi="仿宋" w:eastAsia="仿宋" w:cs="仿宋"/>
          <w:color w:val="000000"/>
          <w:kern w:val="0"/>
          <w:sz w:val="28"/>
          <w:szCs w:val="28"/>
          <w:lang w:bidi="ar"/>
        </w:rPr>
        <w:t>轮，取</w:t>
      </w:r>
      <w:r>
        <w:rPr>
          <w:rFonts w:hint="eastAsia" w:ascii="仿宋" w:hAnsi="仿宋" w:eastAsia="仿宋" w:cs="仿宋"/>
          <w:color w:val="000000"/>
          <w:kern w:val="0"/>
          <w:sz w:val="28"/>
          <w:szCs w:val="28"/>
          <w:lang w:eastAsia="zh-CN" w:bidi="ar"/>
        </w:rPr>
        <w:t>两</w:t>
      </w:r>
      <w:r>
        <w:rPr>
          <w:rFonts w:hint="eastAsia" w:ascii="仿宋" w:hAnsi="仿宋" w:eastAsia="仿宋" w:cs="仿宋"/>
          <w:color w:val="000000"/>
          <w:kern w:val="0"/>
          <w:sz w:val="28"/>
          <w:szCs w:val="28"/>
          <w:lang w:bidi="ar"/>
        </w:rPr>
        <w:t xml:space="preserve">轮的最高分为最终得分。如出现同分，那么重试次数少的排前。 </w:t>
      </w:r>
      <w:bookmarkStart w:id="0" w:name="_GoBack"/>
      <w:bookmarkEnd w:id="0"/>
    </w:p>
    <w:p w14:paraId="6B79201F">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5.2.2 竞赛组委会有可能根据参赛报名和场馆的实际情况变更赛制，如有更改会在赛前通知。 </w:t>
      </w:r>
    </w:p>
    <w:p w14:paraId="20D24551">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5.3 比赛过程 </w:t>
      </w:r>
    </w:p>
    <w:p w14:paraId="3DB9F83D">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5.3.1 赛前准备 </w:t>
      </w:r>
    </w:p>
    <w:p w14:paraId="2274FE66">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5.3.1.1 </w:t>
      </w:r>
      <w:r>
        <w:rPr>
          <w:rFonts w:hint="eastAsia" w:ascii="仿宋" w:hAnsi="仿宋" w:eastAsia="仿宋" w:cs="仿宋"/>
          <w:color w:val="000000"/>
          <w:kern w:val="0"/>
          <w:sz w:val="28"/>
          <w:szCs w:val="28"/>
          <w:lang w:eastAsia="zh-CN" w:bidi="ar"/>
        </w:rPr>
        <w:t>现场裁判员在</w:t>
      </w:r>
      <w:r>
        <w:rPr>
          <w:rFonts w:hint="eastAsia" w:ascii="仿宋" w:hAnsi="仿宋" w:eastAsia="仿宋" w:cs="仿宋"/>
          <w:color w:val="000000"/>
          <w:kern w:val="0"/>
          <w:sz w:val="28"/>
          <w:szCs w:val="28"/>
          <w:lang w:bidi="ar"/>
        </w:rPr>
        <w:t>调试</w:t>
      </w:r>
      <w:r>
        <w:rPr>
          <w:rFonts w:hint="eastAsia" w:ascii="仿宋" w:hAnsi="仿宋" w:eastAsia="仿宋" w:cs="仿宋"/>
          <w:color w:val="000000"/>
          <w:kern w:val="0"/>
          <w:sz w:val="28"/>
          <w:szCs w:val="28"/>
          <w:lang w:eastAsia="zh-CN" w:bidi="ar"/>
        </w:rPr>
        <w:t>阶段会</w:t>
      </w:r>
      <w:r>
        <w:rPr>
          <w:rFonts w:hint="eastAsia" w:ascii="仿宋" w:hAnsi="仿宋" w:eastAsia="仿宋" w:cs="仿宋"/>
          <w:color w:val="000000"/>
          <w:kern w:val="0"/>
          <w:sz w:val="28"/>
          <w:szCs w:val="28"/>
          <w:lang w:bidi="ar"/>
        </w:rPr>
        <w:t>检录</w:t>
      </w:r>
      <w:r>
        <w:rPr>
          <w:rFonts w:hint="eastAsia" w:ascii="仿宋" w:hAnsi="仿宋" w:eastAsia="仿宋" w:cs="仿宋"/>
          <w:color w:val="000000"/>
          <w:kern w:val="0"/>
          <w:sz w:val="28"/>
          <w:szCs w:val="28"/>
          <w:lang w:eastAsia="zh-CN" w:bidi="ar"/>
        </w:rPr>
        <w:t>各队伍</w:t>
      </w:r>
      <w:r>
        <w:rPr>
          <w:rFonts w:hint="eastAsia" w:ascii="仿宋" w:hAnsi="仿宋" w:eastAsia="仿宋" w:cs="仿宋"/>
          <w:color w:val="000000"/>
          <w:kern w:val="0"/>
          <w:sz w:val="28"/>
          <w:szCs w:val="28"/>
          <w:lang w:bidi="ar"/>
        </w:rPr>
        <w:t>设备</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bidi="ar"/>
        </w:rPr>
        <w:t>并贴</w:t>
      </w:r>
      <w:r>
        <w:rPr>
          <w:rFonts w:hint="eastAsia" w:ascii="仿宋" w:hAnsi="仿宋" w:eastAsia="仿宋" w:cs="仿宋"/>
          <w:color w:val="000000"/>
          <w:kern w:val="0"/>
          <w:sz w:val="28"/>
          <w:szCs w:val="28"/>
          <w:lang w:eastAsia="zh-CN" w:bidi="ar"/>
        </w:rPr>
        <w:t>上</w:t>
      </w:r>
      <w:r>
        <w:rPr>
          <w:rFonts w:hint="eastAsia" w:ascii="仿宋" w:hAnsi="仿宋" w:eastAsia="仿宋" w:cs="仿宋"/>
          <w:color w:val="000000"/>
          <w:kern w:val="0"/>
          <w:sz w:val="28"/>
          <w:szCs w:val="28"/>
          <w:lang w:bidi="ar"/>
        </w:rPr>
        <w:t>队伍编号的合格标签，</w:t>
      </w:r>
      <w:r>
        <w:rPr>
          <w:rFonts w:hint="eastAsia" w:ascii="仿宋" w:hAnsi="仿宋" w:eastAsia="仿宋" w:cs="仿宋"/>
          <w:b/>
          <w:bCs/>
          <w:color w:val="000000"/>
          <w:kern w:val="0"/>
          <w:sz w:val="28"/>
          <w:szCs w:val="28"/>
          <w:lang w:bidi="ar"/>
        </w:rPr>
        <w:t>不允许小组间共用设备及程序，发现即为作弊</w:t>
      </w:r>
      <w:r>
        <w:rPr>
          <w:rFonts w:hint="eastAsia" w:ascii="仿宋" w:hAnsi="仿宋" w:eastAsia="仿宋" w:cs="仿宋"/>
          <w:color w:val="000000"/>
          <w:kern w:val="0"/>
          <w:sz w:val="28"/>
          <w:szCs w:val="28"/>
          <w:lang w:bidi="ar"/>
        </w:rPr>
        <w:t>。</w:t>
      </w:r>
      <w:r>
        <w:rPr>
          <w:rFonts w:hint="eastAsia" w:ascii="仿宋" w:hAnsi="仿宋" w:eastAsia="仿宋" w:cs="仿宋"/>
          <w:color w:val="000000"/>
          <w:kern w:val="0"/>
          <w:sz w:val="28"/>
          <w:szCs w:val="28"/>
          <w:lang w:eastAsia="zh-CN" w:bidi="ar"/>
        </w:rPr>
        <w:t>各队</w:t>
      </w:r>
      <w:r>
        <w:rPr>
          <w:rFonts w:hint="eastAsia" w:ascii="仿宋" w:hAnsi="仿宋" w:eastAsia="仿宋" w:cs="仿宋"/>
          <w:color w:val="000000"/>
          <w:kern w:val="0"/>
          <w:sz w:val="28"/>
          <w:szCs w:val="28"/>
          <w:lang w:bidi="ar"/>
        </w:rPr>
        <w:t>可以使用备用设备，但必须是检录</w:t>
      </w:r>
      <w:r>
        <w:rPr>
          <w:rFonts w:hint="eastAsia" w:ascii="仿宋" w:hAnsi="仿宋" w:eastAsia="仿宋" w:cs="仿宋"/>
          <w:color w:val="000000"/>
          <w:kern w:val="0"/>
          <w:sz w:val="28"/>
          <w:szCs w:val="28"/>
          <w:lang w:eastAsia="zh-CN" w:bidi="ar"/>
        </w:rPr>
        <w:t>通过</w:t>
      </w:r>
      <w:r>
        <w:rPr>
          <w:rFonts w:hint="eastAsia" w:ascii="仿宋" w:hAnsi="仿宋" w:eastAsia="仿宋" w:cs="仿宋"/>
          <w:color w:val="000000"/>
          <w:kern w:val="0"/>
          <w:sz w:val="28"/>
          <w:szCs w:val="28"/>
          <w:lang w:bidi="ar"/>
        </w:rPr>
        <w:t xml:space="preserve">的设备。调试时间结束后，选手需将机器人封存到裁判指定的位置，直至第一轮活动前，选手不得触碰和调整机器人。 </w:t>
      </w:r>
    </w:p>
    <w:p w14:paraId="7D505868">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5.3.1.2 参赛选手在调试区不得上网和下载任何资料，不得使用相机等设备拍摄比赛场地，不得以任何方式与教练员或家长联系。 </w:t>
      </w:r>
    </w:p>
    <w:p w14:paraId="0E5C8751">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5.3.1.3 参赛队允许在准备区对机器人进行简单地维修和修改程序。 </w:t>
      </w:r>
    </w:p>
    <w:p w14:paraId="0EBFF9E2">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5.3.2 竞赛准备 </w:t>
      </w:r>
    </w:p>
    <w:p w14:paraId="75E20334">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5.3.2.1 准备上场时，参赛队员从封存区领取自己的机器人，在引导员带领下进入比赛区。赛前参赛队有 1 分钟（组委会可根据现场情况进行调整）时间进行程序调整，并且可以检查场地上任务模型摆放。 </w:t>
      </w:r>
    </w:p>
    <w:p w14:paraId="7AA1D341">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5.3.2.2 上场的学生队员，站立在待命区（本队场地出发区）附近。 </w:t>
      </w:r>
    </w:p>
    <w:p w14:paraId="2D325E13">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5.3.2.3 队员将自己的机器放入出发区。机器人启动之前，机器人在地面的投影不能完全超过出发区范围。 </w:t>
      </w:r>
    </w:p>
    <w:p w14:paraId="004FC351">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5.3.2.4 完成准备工作后，队员应向裁判员示意。 </w:t>
      </w:r>
    </w:p>
    <w:p w14:paraId="0F04A7B0">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5.3.3 启动 </w:t>
      </w:r>
    </w:p>
    <w:p w14:paraId="40A1B353">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5.3.3.1 裁判员确认参赛队已准备好后，将发出“3，2，1，开始”的倒计时启动口令。当裁判喊“开始”后，参赛队员才可以启动机器</w:t>
      </w:r>
      <w:r>
        <w:rPr>
          <w:rFonts w:hint="eastAsia" w:ascii="仿宋" w:hAnsi="仿宋" w:eastAsia="仿宋" w:cs="仿宋"/>
          <w:color w:val="000000"/>
          <w:kern w:val="0"/>
          <w:sz w:val="28"/>
          <w:szCs w:val="28"/>
          <w:lang w:eastAsia="zh-CN" w:bidi="ar"/>
        </w:rPr>
        <w:t>人</w:t>
      </w:r>
      <w:r>
        <w:rPr>
          <w:rFonts w:hint="eastAsia" w:ascii="仿宋" w:hAnsi="仿宋" w:eastAsia="仿宋" w:cs="仿宋"/>
          <w:color w:val="000000"/>
          <w:kern w:val="0"/>
          <w:sz w:val="28"/>
          <w:szCs w:val="28"/>
          <w:lang w:bidi="ar"/>
        </w:rPr>
        <w:t xml:space="preserve">。 </w:t>
      </w:r>
    </w:p>
    <w:p w14:paraId="16695BB1">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5.3.3.2 在“开始”命令前启动机器人将被视为“误启动”并受到警告或处罚。 </w:t>
      </w:r>
    </w:p>
    <w:p w14:paraId="62EF4780">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5.3.3.3 机器人一旦启动，单次任务只能受程序指令或遥控控制。队员不得接触机器人，否则视为重试。机器人每完成任务返回到出发点时，可重新下载或修改程序完成接下来的任务。</w:t>
      </w:r>
    </w:p>
    <w:p w14:paraId="1096EE2B">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5.3.3.4 比赛开始时，小学组选手可以自行选择先完成编程模式任务还是遥控模式任务： </w:t>
      </w:r>
    </w:p>
    <w:p w14:paraId="093B93FB">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若先选择编程模式：选手需向裁判申请优先选择编程模式来完成场地任务，并将遥控器交给裁判。 </w:t>
      </w:r>
    </w:p>
    <w:p w14:paraId="4DA8CC0A">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若先选择遥控模式：选手需向裁判申请优先选择遥控模式来完成场地任务，同时在正式挑战前需要用遥控器向裁判展示机器人前后左右移动。裁判认为无问题后，选手可以宣布开始挑战，同时裁判开始计时。遥控任务完成后，遥控器需交给裁判。 </w:t>
      </w:r>
    </w:p>
    <w:p w14:paraId="5FA87CE3">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5.3.3.5 启动后的机器人不得故意分离出部件或把机械零件掉在场上。偶然脱落的机器人零部件，参赛选手自行带回，若选手未带回零件，以不听从裁判指令视情况进行扣分判罚，直至 0 分。在这个过程中计时不会暂停。 </w:t>
      </w:r>
    </w:p>
    <w:p w14:paraId="5DCC07D3">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5.3.3.6 机器人</w:t>
      </w:r>
      <w:r>
        <w:rPr>
          <w:rFonts w:hint="eastAsia" w:ascii="仿宋" w:hAnsi="仿宋" w:eastAsia="仿宋" w:cs="仿宋"/>
          <w:b/>
          <w:bCs/>
          <w:color w:val="000000"/>
          <w:kern w:val="0"/>
          <w:sz w:val="28"/>
          <w:szCs w:val="28"/>
          <w:lang w:bidi="ar"/>
        </w:rPr>
        <w:t>完全冲出比赛场地或未在出发区出现问题</w:t>
      </w:r>
      <w:r>
        <w:rPr>
          <w:rFonts w:hint="eastAsia" w:ascii="仿宋" w:hAnsi="仿宋" w:eastAsia="仿宋" w:cs="仿宋"/>
          <w:b/>
          <w:bCs/>
          <w:color w:val="000000"/>
          <w:kern w:val="0"/>
          <w:sz w:val="28"/>
          <w:szCs w:val="28"/>
          <w:lang w:eastAsia="zh-CN" w:bidi="ar"/>
        </w:rPr>
        <w:t>，</w:t>
      </w:r>
      <w:r>
        <w:rPr>
          <w:rFonts w:hint="eastAsia" w:ascii="仿宋" w:hAnsi="仿宋" w:eastAsia="仿宋" w:cs="仿宋"/>
          <w:color w:val="000000"/>
          <w:kern w:val="0"/>
          <w:sz w:val="28"/>
          <w:szCs w:val="28"/>
          <w:lang w:bidi="ar"/>
        </w:rPr>
        <w:t>队员手动将机器人搬回出发区，</w:t>
      </w:r>
      <w:r>
        <w:rPr>
          <w:rFonts w:hint="eastAsia" w:ascii="仿宋" w:hAnsi="仿宋" w:eastAsia="仿宋" w:cs="仿宋"/>
          <w:b/>
          <w:bCs/>
          <w:color w:val="000000"/>
          <w:kern w:val="0"/>
          <w:sz w:val="28"/>
          <w:szCs w:val="28"/>
          <w:lang w:bidi="ar"/>
        </w:rPr>
        <w:t>记一次重试</w:t>
      </w:r>
      <w:r>
        <w:rPr>
          <w:rFonts w:hint="eastAsia" w:ascii="仿宋" w:hAnsi="仿宋" w:eastAsia="仿宋" w:cs="仿宋"/>
          <w:color w:val="000000"/>
          <w:kern w:val="0"/>
          <w:sz w:val="28"/>
          <w:szCs w:val="28"/>
          <w:lang w:bidi="ar"/>
        </w:rPr>
        <w:t xml:space="preserve">，队员需在出发区重新启动。 </w:t>
      </w:r>
    </w:p>
    <w:p w14:paraId="7755110D">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5.3.3.7 当机器人完成任务垂直投影任意部分位于出发区时，选手可手动调整机器人，调整范围包括：</w:t>
      </w:r>
    </w:p>
    <w:p w14:paraId="157C130A">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1.调整携带道具位置；</w:t>
      </w:r>
    </w:p>
    <w:p w14:paraId="53F32F16">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2.更换机器人程序；</w:t>
      </w:r>
    </w:p>
    <w:p w14:paraId="336251A2">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3.调整机器人结构；</w:t>
      </w:r>
    </w:p>
    <w:p w14:paraId="5DE28A3E">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4.调整完毕后，机器人需要重起点重新出发，且机器人长宽不得超出起点范围。 </w:t>
      </w:r>
    </w:p>
    <w:p w14:paraId="56DE56EC">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5.3.3.8 比赛过程中，任务道具一旦被移出场外，则该道具本场次失效，不计得分，不再复原。 </w:t>
      </w:r>
    </w:p>
    <w:p w14:paraId="2AB972E1">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5.3.4 重试 </w:t>
      </w:r>
    </w:p>
    <w:p w14:paraId="2778DEBB">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5.3.4.1 机器人在启动之后，在出发区之外的区域，参赛选手用手触碰了或者需要维修机器人，视为重试。 </w:t>
      </w:r>
    </w:p>
    <w:p w14:paraId="6305803A">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5.3.4.2 重试后，场地状态保持不变。 </w:t>
      </w:r>
    </w:p>
    <w:p w14:paraId="6515182B">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5.3.4.3 每场比赛重试次数达到4次立即停止比赛。</w:t>
      </w:r>
    </w:p>
    <w:p w14:paraId="754D276C">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5.3.4.4 重试期间计时不停止，也不重新开始计时。重试前机器人已完成的任务有效。机器人携带的得分道具需要由选手放置到己方起点区域内。若选手未带回道具，以不听从裁判指令视情况进行扣分判罚，直至 0 分。在这个过程中计时不会暂停（携带的定义为：选手拿起机器人，方块会同机器人一起被移动，例如夹，框等）。 </w:t>
      </w:r>
    </w:p>
    <w:p w14:paraId="2BEE5977">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5.3.5 比赛结束 </w:t>
      </w:r>
    </w:p>
    <w:p w14:paraId="71EAEE30">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5.3.6.1 每场比赛时间为 120 秒钟。 </w:t>
      </w:r>
    </w:p>
    <w:p w14:paraId="5CC09DF9">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5.3.6.2 每队最多2辆机器人，以完成任务量计算得分。 </w:t>
      </w:r>
    </w:p>
    <w:p w14:paraId="64794115">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5.3.6.3 裁判员示意比赛结束后，机器人继续运行完成的任务得分无效。 </w:t>
      </w:r>
    </w:p>
    <w:p w14:paraId="1AC2A47D">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5.3.5.4 裁判员有义务将记分结果告知参赛队员。参赛队员有权利纠正裁判员记分操作中可能的错误，确认无误后，应签字确认已经知晓自己的得分。如有争议应提请裁判长仲裁，裁判员填写记分表，参赛队员应确认自己的得分。 </w:t>
      </w:r>
    </w:p>
    <w:p w14:paraId="382D0B6E">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 xml:space="preserve">5.3.5.5 每轮比赛结束后，参赛队员需将场地任务道具恢复到启动前状态，并将自己的机器人搬回自己调试区座位。 </w:t>
      </w:r>
    </w:p>
    <w:p w14:paraId="331C4165">
      <w:pPr>
        <w:widowControl/>
        <w:jc w:val="left"/>
        <w:rPr>
          <w:rFonts w:hint="eastAsia" w:ascii="仿宋" w:hAnsi="仿宋" w:eastAsia="仿宋" w:cs="仿宋"/>
          <w:color w:val="000000"/>
          <w:kern w:val="0"/>
          <w:sz w:val="28"/>
          <w:szCs w:val="28"/>
          <w:lang w:bidi="ar"/>
        </w:rPr>
      </w:pPr>
    </w:p>
    <w:p w14:paraId="5E058FA3">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六、记分 </w:t>
      </w:r>
    </w:p>
    <w:p w14:paraId="16645927">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每场</w:t>
      </w:r>
      <w:r>
        <w:rPr>
          <w:rFonts w:hint="eastAsia" w:ascii="仿宋" w:hAnsi="仿宋" w:eastAsia="仿宋" w:cs="仿宋"/>
          <w:color w:val="000000"/>
          <w:kern w:val="0"/>
          <w:sz w:val="28"/>
          <w:szCs w:val="28"/>
          <w:lang w:eastAsia="zh-CN" w:bidi="ar"/>
        </w:rPr>
        <w:t>展示</w:t>
      </w:r>
      <w:r>
        <w:rPr>
          <w:rFonts w:hint="eastAsia" w:ascii="仿宋" w:hAnsi="仿宋" w:eastAsia="仿宋" w:cs="仿宋"/>
          <w:color w:val="000000"/>
          <w:kern w:val="0"/>
          <w:sz w:val="28"/>
          <w:szCs w:val="28"/>
          <w:lang w:bidi="ar"/>
        </w:rPr>
        <w:t>限时 120 秒。如在 120 秒内，全部任务均已完成选手可示意结束比赛，</w:t>
      </w:r>
      <w:r>
        <w:rPr>
          <w:rFonts w:hint="eastAsia" w:ascii="仿宋" w:hAnsi="仿宋" w:eastAsia="仿宋" w:cs="仿宋"/>
          <w:color w:val="000000"/>
          <w:kern w:val="0"/>
          <w:sz w:val="28"/>
          <w:szCs w:val="28"/>
          <w:lang w:eastAsia="zh-CN" w:bidi="ar"/>
        </w:rPr>
        <w:t>展示</w:t>
      </w:r>
      <w:r>
        <w:rPr>
          <w:rFonts w:hint="eastAsia" w:ascii="仿宋" w:hAnsi="仿宋" w:eastAsia="仿宋" w:cs="仿宋"/>
          <w:color w:val="000000"/>
          <w:kern w:val="0"/>
          <w:sz w:val="28"/>
          <w:szCs w:val="28"/>
          <w:lang w:bidi="ar"/>
        </w:rPr>
        <w:t xml:space="preserve">即时结束；如未完成任务，不再加时。各队成绩按下表的标准计算分值。 </w:t>
      </w:r>
    </w:p>
    <w:p w14:paraId="22BCE717">
      <w:pPr>
        <w:widowControl/>
        <w:jc w:val="left"/>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bidi="ar"/>
        </w:rPr>
        <w:t>6.1任务得分表</w:t>
      </w:r>
      <w:r>
        <w:rPr>
          <w:rFonts w:hint="eastAsia" w:ascii="仿宋" w:hAnsi="仿宋" w:eastAsia="仿宋" w:cs="仿宋"/>
          <w:color w:val="000000"/>
          <w:kern w:val="0"/>
          <w:sz w:val="28"/>
          <w:szCs w:val="28"/>
          <w:lang w:bidi="ar"/>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3"/>
        <w:gridCol w:w="4635"/>
        <w:gridCol w:w="1438"/>
      </w:tblGrid>
      <w:tr w14:paraId="14127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43FA207E">
            <w:pPr>
              <w:widowControl/>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任务</w:t>
            </w:r>
          </w:p>
        </w:tc>
        <w:tc>
          <w:tcPr>
            <w:tcW w:w="4635" w:type="dxa"/>
          </w:tcPr>
          <w:p w14:paraId="6DBD5205">
            <w:pPr>
              <w:widowControl/>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说明</w:t>
            </w:r>
          </w:p>
        </w:tc>
        <w:tc>
          <w:tcPr>
            <w:tcW w:w="1438" w:type="dxa"/>
          </w:tcPr>
          <w:p w14:paraId="13007844">
            <w:pPr>
              <w:widowControl/>
              <w:jc w:val="cente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编程得分</w:t>
            </w:r>
          </w:p>
        </w:tc>
      </w:tr>
      <w:tr w14:paraId="75332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22B75375">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M1穿越绿色通道</w:t>
            </w:r>
          </w:p>
        </w:tc>
        <w:tc>
          <w:tcPr>
            <w:tcW w:w="4635" w:type="dxa"/>
            <w:vAlign w:val="center"/>
          </w:tcPr>
          <w:p w14:paraId="6E09696C">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穿越“绿色启航”通过</w:t>
            </w:r>
          </w:p>
        </w:tc>
        <w:tc>
          <w:tcPr>
            <w:tcW w:w="1438" w:type="dxa"/>
            <w:vAlign w:val="center"/>
          </w:tcPr>
          <w:p w14:paraId="7A1E3DBB">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+10</w:t>
            </w:r>
          </w:p>
        </w:tc>
      </w:tr>
      <w:tr w14:paraId="37F1F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46343404">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M2激活智能电网</w:t>
            </w:r>
          </w:p>
        </w:tc>
        <w:tc>
          <w:tcPr>
            <w:tcW w:w="4635" w:type="dxa"/>
            <w:vAlign w:val="center"/>
          </w:tcPr>
          <w:p w14:paraId="5BBC544B">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机器人将道具升起</w:t>
            </w:r>
          </w:p>
        </w:tc>
        <w:tc>
          <w:tcPr>
            <w:tcW w:w="1438" w:type="dxa"/>
            <w:vAlign w:val="center"/>
          </w:tcPr>
          <w:p w14:paraId="461BEA22">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+20</w:t>
            </w:r>
          </w:p>
        </w:tc>
      </w:tr>
      <w:tr w14:paraId="1544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59F5192B">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M3垃圾分类</w:t>
            </w:r>
          </w:p>
        </w:tc>
        <w:tc>
          <w:tcPr>
            <w:tcW w:w="4635" w:type="dxa"/>
            <w:vAlign w:val="center"/>
          </w:tcPr>
          <w:p w14:paraId="2AD3652F">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机器人将垃圾道具运送到指定位置并返回基地</w:t>
            </w:r>
          </w:p>
        </w:tc>
        <w:tc>
          <w:tcPr>
            <w:tcW w:w="1438" w:type="dxa"/>
            <w:vAlign w:val="center"/>
          </w:tcPr>
          <w:p w14:paraId="0ADD7865">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1个  +20</w:t>
            </w:r>
          </w:p>
          <w:p w14:paraId="1E0A895C">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2个  +40</w:t>
            </w:r>
          </w:p>
        </w:tc>
      </w:tr>
      <w:tr w14:paraId="52AD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76870763">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M4水资源释放</w:t>
            </w:r>
          </w:p>
        </w:tc>
        <w:tc>
          <w:tcPr>
            <w:tcW w:w="4635" w:type="dxa"/>
            <w:vAlign w:val="center"/>
          </w:tcPr>
          <w:p w14:paraId="35335F72">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机器人将水资源道具从水槽位置推出</w:t>
            </w:r>
          </w:p>
        </w:tc>
        <w:tc>
          <w:tcPr>
            <w:tcW w:w="1438" w:type="dxa"/>
            <w:vAlign w:val="center"/>
          </w:tcPr>
          <w:p w14:paraId="72109CC1">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1个  +5</w:t>
            </w:r>
          </w:p>
          <w:p w14:paraId="28A2A1AE">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2个  +10</w:t>
            </w:r>
          </w:p>
          <w:p w14:paraId="28E41830">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3个  +15</w:t>
            </w:r>
          </w:p>
          <w:p w14:paraId="77AA1326">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4个  +20</w:t>
            </w:r>
          </w:p>
        </w:tc>
      </w:tr>
      <w:tr w14:paraId="1092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65CB9664">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M5志愿者运输</w:t>
            </w:r>
          </w:p>
        </w:tc>
        <w:tc>
          <w:tcPr>
            <w:tcW w:w="4635" w:type="dxa"/>
            <w:vAlign w:val="center"/>
          </w:tcPr>
          <w:p w14:paraId="4E555AD6">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机器人将人仔从安全平台底部移动到顶部</w:t>
            </w:r>
          </w:p>
        </w:tc>
        <w:tc>
          <w:tcPr>
            <w:tcW w:w="1438" w:type="dxa"/>
            <w:vAlign w:val="center"/>
          </w:tcPr>
          <w:p w14:paraId="4F8731E7">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+30</w:t>
            </w:r>
          </w:p>
        </w:tc>
      </w:tr>
      <w:tr w14:paraId="20F7D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59A632A5">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M6碳中和启动</w:t>
            </w:r>
          </w:p>
        </w:tc>
        <w:tc>
          <w:tcPr>
            <w:tcW w:w="4635" w:type="dxa"/>
            <w:vAlign w:val="center"/>
          </w:tcPr>
          <w:p w14:paraId="57F1B77C">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机器人移动到“碳中和目标点”</w:t>
            </w:r>
          </w:p>
        </w:tc>
        <w:tc>
          <w:tcPr>
            <w:tcW w:w="1438" w:type="dxa"/>
            <w:vAlign w:val="center"/>
          </w:tcPr>
          <w:p w14:paraId="361F0ABE">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1个  +15</w:t>
            </w:r>
          </w:p>
          <w:p w14:paraId="2CDC7817">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2个  +30</w:t>
            </w:r>
          </w:p>
        </w:tc>
      </w:tr>
      <w:tr w14:paraId="4606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3" w:type="dxa"/>
            <w:vAlign w:val="center"/>
          </w:tcPr>
          <w:p w14:paraId="6047EBDA">
            <w:pPr>
              <w:widowControl/>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最终评分</w:t>
            </w:r>
          </w:p>
        </w:tc>
        <w:tc>
          <w:tcPr>
            <w:tcW w:w="6073" w:type="dxa"/>
            <w:gridSpan w:val="2"/>
          </w:tcPr>
          <w:p w14:paraId="422FFCE9">
            <w:pPr>
              <w:widowControl/>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最终评分=“计分”列中所有分值的总和</w:t>
            </w:r>
          </w:p>
        </w:tc>
      </w:tr>
    </w:tbl>
    <w:p w14:paraId="7BD190A3">
      <w:pPr>
        <w:widowControl/>
        <w:jc w:val="left"/>
        <w:rPr>
          <w:rFonts w:hint="eastAsia" w:ascii="仿宋" w:hAnsi="仿宋" w:eastAsia="仿宋" w:cs="仿宋"/>
          <w:color w:val="000000"/>
          <w:kern w:val="0"/>
          <w:sz w:val="28"/>
          <w:szCs w:val="28"/>
          <w:lang w:bidi="ar"/>
        </w:rPr>
      </w:pPr>
    </w:p>
    <w:p w14:paraId="31A6BB18">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七、犯规和取消比赛资格 </w:t>
      </w:r>
    </w:p>
    <w:p w14:paraId="6464678D">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7.1 机器人调试任务开始后 20 分钟才前来参加的，取消活动资格。 </w:t>
      </w:r>
    </w:p>
    <w:p w14:paraId="7AE57246">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7.2 每支队伍每轮竞技允许第 1 次机器人“早启动”，第 2 次再犯，该轮成绩为 0 分。 </w:t>
      </w:r>
    </w:p>
    <w:p w14:paraId="4F5DD067">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7.3 辅导老师或家长存在口授选手影响活动的指引，或亲手参与搭建任务，亦或触碰、修复作品等行为的，初赛时该轮成绩为 0 分，决赛时直接淘汰。 </w:t>
      </w:r>
    </w:p>
    <w:p w14:paraId="5D10EBB0">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7.4 选手不听从裁判员指令的，将视情况轻重，由裁判确定给予警告、初赛该轮成绩为 0 分、决赛直接淘汰，乃至取消活动资格等处理。</w:t>
      </w:r>
    </w:p>
    <w:p w14:paraId="6D2EAAD5">
      <w:pPr>
        <w:widowControl/>
        <w:jc w:val="left"/>
        <w:rPr>
          <w:rFonts w:hint="eastAsia" w:ascii="仿宋" w:hAnsi="仿宋" w:eastAsia="仿宋" w:cs="仿宋"/>
          <w:b/>
          <w:bCs/>
          <w:color w:val="000000"/>
          <w:kern w:val="0"/>
          <w:sz w:val="28"/>
          <w:szCs w:val="28"/>
          <w:lang w:bidi="ar"/>
        </w:rPr>
      </w:pPr>
    </w:p>
    <w:p w14:paraId="325C9CCC">
      <w:pPr>
        <w:widowControl/>
        <w:jc w:val="left"/>
        <w:rPr>
          <w:rFonts w:hint="eastAsia" w:ascii="仿宋" w:hAnsi="仿宋" w:eastAsia="仿宋" w:cs="仿宋"/>
          <w:sz w:val="28"/>
          <w:szCs w:val="28"/>
        </w:rPr>
      </w:pPr>
      <w:r>
        <w:rPr>
          <w:rFonts w:hint="eastAsia" w:ascii="仿宋" w:hAnsi="仿宋" w:eastAsia="仿宋" w:cs="仿宋"/>
          <w:b/>
          <w:bCs/>
          <w:color w:val="000000"/>
          <w:kern w:val="0"/>
          <w:sz w:val="28"/>
          <w:szCs w:val="28"/>
          <w:lang w:bidi="ar"/>
        </w:rPr>
        <w:t xml:space="preserve">八、奖励 </w:t>
      </w:r>
    </w:p>
    <w:p w14:paraId="25F81BD9">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8.1 每个组别按总成绩排名。 </w:t>
      </w:r>
    </w:p>
    <w:p w14:paraId="3A51103A">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 xml:space="preserve">如果出现局部并列的排名，按 5.2 赛制进行排名。 </w:t>
      </w:r>
    </w:p>
    <w:p w14:paraId="52E843FB">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000000"/>
          <w:kern w:val="0"/>
          <w:sz w:val="28"/>
          <w:szCs w:val="28"/>
          <w:lang w:bidi="ar"/>
        </w:rPr>
        <w:t>8.2 按照参赛队成绩排名确定获奖等级（零分、弃权不计入排名），分别设一等奖、二等奖、三等奖，其中一等奖包含有冠、亚、季奖项，如一等奖不足 3 人，则取消冠、亚、季奖项</w:t>
      </w:r>
      <w:r>
        <w:rPr>
          <w:rFonts w:hint="eastAsia" w:ascii="仿宋" w:hAnsi="仿宋" w:eastAsia="仿宋" w:cs="仿宋"/>
          <w:color w:val="333333"/>
          <w:kern w:val="0"/>
          <w:sz w:val="28"/>
          <w:szCs w:val="28"/>
          <w:lang w:bidi="ar"/>
        </w:rPr>
        <w:t>。</w:t>
      </w:r>
    </w:p>
    <w:p w14:paraId="3384D5E4">
      <w:pPr>
        <w:jc w:val="left"/>
        <w:rPr>
          <w:rFonts w:hint="eastAsia" w:ascii="仿宋" w:hAnsi="仿宋" w:eastAsia="仿宋" w:cs="仿宋"/>
          <w:b/>
          <w:bCs/>
          <w:sz w:val="28"/>
          <w:szCs w:val="28"/>
        </w:rPr>
      </w:pPr>
    </w:p>
    <w:p w14:paraId="0A0E6047">
      <w:pPr>
        <w:jc w:val="left"/>
        <w:rPr>
          <w:rFonts w:hint="eastAsia" w:ascii="仿宋" w:hAnsi="仿宋" w:eastAsia="仿宋" w:cs="仿宋"/>
          <w:b/>
          <w:bCs/>
          <w:sz w:val="28"/>
          <w:szCs w:val="28"/>
        </w:rPr>
      </w:pPr>
    </w:p>
    <w:p w14:paraId="64902C1A">
      <w:pPr>
        <w:jc w:val="left"/>
        <w:rPr>
          <w:rFonts w:hint="eastAsia" w:ascii="仿宋" w:hAnsi="仿宋" w:eastAsia="仿宋" w:cs="仿宋"/>
          <w:b/>
          <w:bCs/>
          <w:sz w:val="28"/>
          <w:szCs w:val="28"/>
        </w:rPr>
      </w:pPr>
    </w:p>
    <w:p w14:paraId="09F8D703">
      <w:pPr>
        <w:jc w:val="left"/>
        <w:rPr>
          <w:rFonts w:hint="eastAsia" w:ascii="仿宋" w:hAnsi="仿宋" w:eastAsia="仿宋" w:cs="仿宋"/>
          <w:b/>
          <w:bCs/>
          <w:sz w:val="28"/>
          <w:szCs w:val="28"/>
        </w:rPr>
      </w:pPr>
    </w:p>
    <w:p w14:paraId="0F3E7B3B">
      <w:pPr>
        <w:jc w:val="left"/>
        <w:rPr>
          <w:rFonts w:hint="eastAsia" w:ascii="仿宋" w:hAnsi="仿宋" w:eastAsia="仿宋" w:cs="仿宋"/>
          <w:b/>
          <w:bCs/>
          <w:sz w:val="28"/>
          <w:szCs w:val="28"/>
        </w:rPr>
      </w:pPr>
      <w:r>
        <w:rPr>
          <w:rFonts w:hint="eastAsia" w:ascii="仿宋" w:hAnsi="仿宋" w:eastAsia="仿宋" w:cs="仿宋"/>
          <w:b/>
          <w:bCs/>
          <w:sz w:val="28"/>
          <w:szCs w:val="28"/>
        </w:rPr>
        <w:t>附件：</w:t>
      </w:r>
    </w:p>
    <w:p w14:paraId="6B0A43A6">
      <w:pPr>
        <w:jc w:val="center"/>
        <w:rPr>
          <w:rFonts w:hint="eastAsia" w:ascii="仿宋" w:hAnsi="仿宋" w:eastAsia="仿宋" w:cs="仿宋"/>
          <w:b/>
          <w:bCs/>
          <w:sz w:val="44"/>
          <w:szCs w:val="44"/>
        </w:rPr>
      </w:pPr>
      <w:r>
        <w:rPr>
          <w:rFonts w:hint="eastAsia" w:ascii="仿宋" w:hAnsi="仿宋" w:eastAsia="仿宋" w:cs="仿宋"/>
          <w:b/>
          <w:bCs/>
          <w:sz w:val="44"/>
          <w:szCs w:val="44"/>
        </w:rPr>
        <w:t>“智联世界”项目计分表</w:t>
      </w:r>
    </w:p>
    <w:p w14:paraId="03D22082">
      <w:pPr>
        <w:wordWrap w:val="0"/>
        <w:jc w:val="right"/>
        <w:rPr>
          <w:rFonts w:hint="eastAsia" w:ascii="仿宋" w:hAnsi="仿宋" w:eastAsia="仿宋" w:cs="仿宋"/>
          <w:b/>
          <w:bCs/>
          <w:sz w:val="24"/>
          <w:u w:val="single"/>
        </w:rPr>
      </w:pPr>
      <w:r>
        <w:rPr>
          <w:rFonts w:hint="eastAsia" w:ascii="仿宋" w:hAnsi="仿宋" w:eastAsia="仿宋" w:cs="仿宋"/>
          <w:b/>
          <w:bCs/>
          <w:sz w:val="24"/>
        </w:rPr>
        <w:t xml:space="preserve">   组别：小学/中学    队伍编号：</w:t>
      </w:r>
      <w:r>
        <w:rPr>
          <w:rFonts w:hint="eastAsia" w:ascii="仿宋" w:hAnsi="仿宋" w:eastAsia="仿宋" w:cs="仿宋"/>
          <w:b/>
          <w:bCs/>
          <w:sz w:val="24"/>
          <w:u w:val="single"/>
        </w:rPr>
        <w:t xml:space="preserve">        </w:t>
      </w:r>
    </w:p>
    <w:tbl>
      <w:tblPr>
        <w:tblStyle w:val="6"/>
        <w:tblpPr w:leftFromText="180" w:rightFromText="180" w:vertAnchor="text" w:horzAnchor="page" w:tblpX="1842" w:tblpY="269"/>
        <w:tblOverlap w:val="never"/>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2654"/>
        <w:gridCol w:w="1969"/>
        <w:gridCol w:w="1054"/>
        <w:gridCol w:w="1031"/>
      </w:tblGrid>
      <w:tr w14:paraId="2D1B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tcPr>
          <w:p w14:paraId="2F35CF9A">
            <w:pPr>
              <w:jc w:val="center"/>
              <w:rPr>
                <w:rFonts w:hint="eastAsia" w:ascii="仿宋" w:hAnsi="仿宋" w:eastAsia="仿宋" w:cs="仿宋"/>
                <w:b/>
                <w:bCs/>
                <w:sz w:val="24"/>
              </w:rPr>
            </w:pPr>
            <w:r>
              <w:rPr>
                <w:rFonts w:hint="eastAsia" w:ascii="仿宋" w:hAnsi="仿宋" w:eastAsia="仿宋" w:cs="仿宋"/>
                <w:b/>
                <w:bCs/>
                <w:sz w:val="24"/>
              </w:rPr>
              <w:t>任务</w:t>
            </w:r>
          </w:p>
        </w:tc>
        <w:tc>
          <w:tcPr>
            <w:tcW w:w="2654" w:type="dxa"/>
          </w:tcPr>
          <w:p w14:paraId="3E6A1F83">
            <w:pPr>
              <w:jc w:val="center"/>
              <w:rPr>
                <w:rFonts w:hint="eastAsia" w:ascii="仿宋" w:hAnsi="仿宋" w:eastAsia="仿宋" w:cs="仿宋"/>
                <w:b/>
                <w:bCs/>
                <w:sz w:val="24"/>
              </w:rPr>
            </w:pPr>
            <w:r>
              <w:rPr>
                <w:rFonts w:hint="eastAsia" w:ascii="仿宋" w:hAnsi="仿宋" w:eastAsia="仿宋" w:cs="仿宋"/>
                <w:b/>
                <w:bCs/>
                <w:sz w:val="24"/>
              </w:rPr>
              <w:t>描述</w:t>
            </w:r>
          </w:p>
        </w:tc>
        <w:tc>
          <w:tcPr>
            <w:tcW w:w="1969" w:type="dxa"/>
          </w:tcPr>
          <w:p w14:paraId="0847B2E5">
            <w:pPr>
              <w:jc w:val="center"/>
              <w:rPr>
                <w:rFonts w:hint="eastAsia" w:ascii="仿宋" w:hAnsi="仿宋" w:eastAsia="仿宋" w:cs="仿宋"/>
                <w:b/>
                <w:bCs/>
                <w:sz w:val="24"/>
              </w:rPr>
            </w:pPr>
            <w:r>
              <w:rPr>
                <w:rFonts w:hint="eastAsia" w:ascii="仿宋" w:hAnsi="仿宋" w:eastAsia="仿宋" w:cs="仿宋"/>
                <w:b/>
                <w:bCs/>
                <w:sz w:val="24"/>
              </w:rPr>
              <w:t>分值</w:t>
            </w:r>
          </w:p>
        </w:tc>
        <w:tc>
          <w:tcPr>
            <w:tcW w:w="1054" w:type="dxa"/>
          </w:tcPr>
          <w:p w14:paraId="41A6A78D">
            <w:pPr>
              <w:jc w:val="center"/>
              <w:rPr>
                <w:rFonts w:hint="eastAsia" w:ascii="仿宋" w:hAnsi="仿宋" w:eastAsia="仿宋" w:cs="仿宋"/>
                <w:b/>
                <w:bCs/>
                <w:sz w:val="24"/>
              </w:rPr>
            </w:pPr>
            <w:r>
              <w:rPr>
                <w:rFonts w:hint="eastAsia" w:ascii="仿宋" w:hAnsi="仿宋" w:eastAsia="仿宋" w:cs="仿宋"/>
                <w:b/>
                <w:bCs/>
                <w:sz w:val="24"/>
              </w:rPr>
              <w:t>场次1</w:t>
            </w:r>
          </w:p>
        </w:tc>
        <w:tc>
          <w:tcPr>
            <w:tcW w:w="1031" w:type="dxa"/>
          </w:tcPr>
          <w:p w14:paraId="31769415">
            <w:pPr>
              <w:jc w:val="center"/>
              <w:rPr>
                <w:rFonts w:hint="eastAsia" w:ascii="仿宋" w:hAnsi="仿宋" w:eastAsia="仿宋" w:cs="仿宋"/>
                <w:b/>
                <w:bCs/>
                <w:sz w:val="24"/>
              </w:rPr>
            </w:pPr>
            <w:r>
              <w:rPr>
                <w:rFonts w:hint="eastAsia" w:ascii="仿宋" w:hAnsi="仿宋" w:eastAsia="仿宋" w:cs="仿宋"/>
                <w:b/>
                <w:bCs/>
                <w:sz w:val="24"/>
              </w:rPr>
              <w:t>场次2</w:t>
            </w:r>
          </w:p>
        </w:tc>
      </w:tr>
      <w:tr w14:paraId="3F38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188379AE">
            <w:pPr>
              <w:rPr>
                <w:rFonts w:hint="eastAsia" w:ascii="仿宋" w:hAnsi="仿宋" w:eastAsia="仿宋" w:cs="仿宋"/>
                <w:b/>
                <w:bCs/>
                <w:sz w:val="28"/>
                <w:szCs w:val="28"/>
              </w:rPr>
            </w:pPr>
            <w:r>
              <w:rPr>
                <w:rFonts w:hint="eastAsia" w:ascii="仿宋" w:hAnsi="仿宋" w:eastAsia="仿宋" w:cs="仿宋"/>
                <w:color w:val="000000"/>
                <w:kern w:val="0"/>
                <w:sz w:val="24"/>
                <w:lang w:bidi="ar"/>
              </w:rPr>
              <w:t>通过绿色航道</w:t>
            </w:r>
          </w:p>
        </w:tc>
        <w:tc>
          <w:tcPr>
            <w:tcW w:w="2654" w:type="dxa"/>
            <w:vAlign w:val="center"/>
          </w:tcPr>
          <w:p w14:paraId="06DFC941">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机器人稳定通过</w:t>
            </w:r>
          </w:p>
        </w:tc>
        <w:tc>
          <w:tcPr>
            <w:tcW w:w="1969" w:type="dxa"/>
            <w:vAlign w:val="center"/>
          </w:tcPr>
          <w:p w14:paraId="52386933">
            <w:pPr>
              <w:widowControl/>
              <w:rPr>
                <w:rFonts w:hint="eastAsia" w:ascii="仿宋" w:hAnsi="仿宋" w:eastAsia="仿宋" w:cs="仿宋"/>
                <w:sz w:val="24"/>
              </w:rPr>
            </w:pPr>
            <w:r>
              <w:rPr>
                <w:rFonts w:hint="eastAsia" w:ascii="仿宋" w:hAnsi="仿宋" w:eastAsia="仿宋" w:cs="仿宋"/>
                <w:color w:val="000000"/>
                <w:kern w:val="0"/>
                <w:sz w:val="24"/>
                <w:lang w:bidi="ar"/>
              </w:rPr>
              <w:t>+10</w:t>
            </w:r>
          </w:p>
        </w:tc>
        <w:tc>
          <w:tcPr>
            <w:tcW w:w="1054" w:type="dxa"/>
            <w:vAlign w:val="center"/>
          </w:tcPr>
          <w:p w14:paraId="5928B845">
            <w:pPr>
              <w:jc w:val="center"/>
              <w:rPr>
                <w:rFonts w:hint="eastAsia" w:ascii="仿宋" w:hAnsi="仿宋" w:eastAsia="仿宋" w:cs="仿宋"/>
                <w:b/>
                <w:bCs/>
                <w:sz w:val="28"/>
                <w:szCs w:val="28"/>
              </w:rPr>
            </w:pPr>
          </w:p>
        </w:tc>
        <w:tc>
          <w:tcPr>
            <w:tcW w:w="1031" w:type="dxa"/>
            <w:vAlign w:val="center"/>
          </w:tcPr>
          <w:p w14:paraId="0A321ABE">
            <w:pPr>
              <w:jc w:val="center"/>
              <w:rPr>
                <w:rFonts w:hint="eastAsia" w:ascii="仿宋" w:hAnsi="仿宋" w:eastAsia="仿宋" w:cs="仿宋"/>
                <w:b/>
                <w:bCs/>
                <w:sz w:val="28"/>
                <w:szCs w:val="28"/>
              </w:rPr>
            </w:pPr>
          </w:p>
        </w:tc>
      </w:tr>
      <w:tr w14:paraId="734D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7A3F4501">
            <w:pPr>
              <w:rPr>
                <w:rFonts w:hint="eastAsia" w:ascii="仿宋" w:hAnsi="仿宋" w:eastAsia="仿宋" w:cs="仿宋"/>
                <w:b/>
                <w:bCs/>
                <w:sz w:val="28"/>
                <w:szCs w:val="28"/>
              </w:rPr>
            </w:pPr>
            <w:r>
              <w:rPr>
                <w:rFonts w:hint="eastAsia" w:ascii="仿宋" w:hAnsi="仿宋" w:eastAsia="仿宋" w:cs="仿宋"/>
                <w:color w:val="000000"/>
                <w:kern w:val="0"/>
                <w:sz w:val="24"/>
                <w:lang w:bidi="ar"/>
              </w:rPr>
              <w:t>升起智能电网</w:t>
            </w:r>
          </w:p>
        </w:tc>
        <w:tc>
          <w:tcPr>
            <w:tcW w:w="2654" w:type="dxa"/>
            <w:vAlign w:val="center"/>
          </w:tcPr>
          <w:p w14:paraId="68473863">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机器人将道具升起</w:t>
            </w:r>
          </w:p>
        </w:tc>
        <w:tc>
          <w:tcPr>
            <w:tcW w:w="1969" w:type="dxa"/>
            <w:vAlign w:val="center"/>
          </w:tcPr>
          <w:p w14:paraId="51008742">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+20</w:t>
            </w:r>
          </w:p>
        </w:tc>
        <w:tc>
          <w:tcPr>
            <w:tcW w:w="1054" w:type="dxa"/>
            <w:vAlign w:val="center"/>
          </w:tcPr>
          <w:p w14:paraId="1C51DF72">
            <w:pPr>
              <w:jc w:val="center"/>
              <w:rPr>
                <w:rFonts w:hint="eastAsia" w:ascii="仿宋" w:hAnsi="仿宋" w:eastAsia="仿宋" w:cs="仿宋"/>
                <w:b/>
                <w:bCs/>
                <w:sz w:val="28"/>
                <w:szCs w:val="28"/>
              </w:rPr>
            </w:pPr>
          </w:p>
        </w:tc>
        <w:tc>
          <w:tcPr>
            <w:tcW w:w="1031" w:type="dxa"/>
            <w:vAlign w:val="center"/>
          </w:tcPr>
          <w:p w14:paraId="0BF5E48B">
            <w:pPr>
              <w:jc w:val="center"/>
              <w:rPr>
                <w:rFonts w:hint="eastAsia" w:ascii="仿宋" w:hAnsi="仿宋" w:eastAsia="仿宋" w:cs="仿宋"/>
                <w:b/>
                <w:bCs/>
                <w:sz w:val="28"/>
                <w:szCs w:val="28"/>
              </w:rPr>
            </w:pPr>
          </w:p>
        </w:tc>
      </w:tr>
      <w:tr w14:paraId="128E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7CF30CEA">
            <w:pPr>
              <w:rPr>
                <w:rFonts w:hint="eastAsia" w:ascii="仿宋" w:hAnsi="仿宋" w:eastAsia="仿宋" w:cs="仿宋"/>
                <w:b/>
                <w:bCs/>
                <w:sz w:val="28"/>
                <w:szCs w:val="28"/>
              </w:rPr>
            </w:pPr>
            <w:r>
              <w:rPr>
                <w:rFonts w:hint="eastAsia" w:ascii="仿宋" w:hAnsi="仿宋" w:eastAsia="仿宋" w:cs="仿宋"/>
                <w:color w:val="000000"/>
                <w:kern w:val="0"/>
                <w:sz w:val="24"/>
                <w:lang w:bidi="ar"/>
              </w:rPr>
              <w:t>垃圾分类</w:t>
            </w:r>
          </w:p>
        </w:tc>
        <w:tc>
          <w:tcPr>
            <w:tcW w:w="2654" w:type="dxa"/>
            <w:vAlign w:val="center"/>
          </w:tcPr>
          <w:p w14:paraId="134369EB">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机器人将普通垃圾和有害垃圾放置到指定位置并返回启动区。</w:t>
            </w:r>
          </w:p>
        </w:tc>
        <w:tc>
          <w:tcPr>
            <w:tcW w:w="1969" w:type="dxa"/>
            <w:vAlign w:val="center"/>
          </w:tcPr>
          <w:p w14:paraId="1C43080F">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1个 +20  </w:t>
            </w:r>
          </w:p>
          <w:p w14:paraId="2CB87DC1">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2个 +40</w:t>
            </w:r>
          </w:p>
        </w:tc>
        <w:tc>
          <w:tcPr>
            <w:tcW w:w="1054" w:type="dxa"/>
            <w:vAlign w:val="center"/>
          </w:tcPr>
          <w:p w14:paraId="3CBD0F7C">
            <w:pPr>
              <w:jc w:val="center"/>
              <w:rPr>
                <w:rFonts w:hint="eastAsia" w:ascii="仿宋" w:hAnsi="仿宋" w:eastAsia="仿宋" w:cs="仿宋"/>
                <w:b/>
                <w:bCs/>
                <w:sz w:val="28"/>
                <w:szCs w:val="28"/>
              </w:rPr>
            </w:pPr>
          </w:p>
        </w:tc>
        <w:tc>
          <w:tcPr>
            <w:tcW w:w="1031" w:type="dxa"/>
            <w:vAlign w:val="center"/>
          </w:tcPr>
          <w:p w14:paraId="3C07CEA1">
            <w:pPr>
              <w:jc w:val="center"/>
              <w:rPr>
                <w:rFonts w:hint="eastAsia" w:ascii="仿宋" w:hAnsi="仿宋" w:eastAsia="仿宋" w:cs="仿宋"/>
                <w:b/>
                <w:bCs/>
                <w:sz w:val="28"/>
                <w:szCs w:val="28"/>
              </w:rPr>
            </w:pPr>
          </w:p>
        </w:tc>
      </w:tr>
      <w:tr w14:paraId="653FA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0C763135">
            <w:pPr>
              <w:rPr>
                <w:rFonts w:hint="eastAsia" w:ascii="仿宋" w:hAnsi="仿宋" w:eastAsia="仿宋" w:cs="仿宋"/>
                <w:b/>
                <w:bCs/>
                <w:sz w:val="28"/>
                <w:szCs w:val="28"/>
              </w:rPr>
            </w:pPr>
            <w:r>
              <w:rPr>
                <w:rFonts w:hint="eastAsia" w:ascii="仿宋" w:hAnsi="仿宋" w:eastAsia="仿宋" w:cs="仿宋"/>
                <w:color w:val="000000"/>
                <w:kern w:val="0"/>
                <w:sz w:val="24"/>
                <w:lang w:bidi="ar"/>
              </w:rPr>
              <w:t>水源提取</w:t>
            </w:r>
          </w:p>
        </w:tc>
        <w:tc>
          <w:tcPr>
            <w:tcW w:w="2654" w:type="dxa"/>
            <w:vAlign w:val="center"/>
          </w:tcPr>
          <w:p w14:paraId="2D4A78ED">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机器人将道具从水槽中推出。</w:t>
            </w:r>
          </w:p>
        </w:tc>
        <w:tc>
          <w:tcPr>
            <w:tcW w:w="1969" w:type="dxa"/>
            <w:vAlign w:val="center"/>
          </w:tcPr>
          <w:p w14:paraId="4488A79E">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1个 +5  </w:t>
            </w:r>
          </w:p>
          <w:p w14:paraId="02F3EE1D">
            <w:pPr>
              <w:widowControl/>
              <w:rPr>
                <w:rFonts w:ascii="仿宋" w:hAnsi="仿宋" w:eastAsia="仿宋" w:cs="仿宋"/>
                <w:color w:val="000000"/>
                <w:kern w:val="0"/>
                <w:sz w:val="24"/>
                <w:lang w:bidi="ar"/>
              </w:rPr>
            </w:pPr>
            <w:r>
              <w:rPr>
                <w:rFonts w:hint="eastAsia" w:ascii="仿宋" w:hAnsi="仿宋" w:eastAsia="仿宋" w:cs="仿宋"/>
                <w:color w:val="000000"/>
                <w:kern w:val="0"/>
                <w:sz w:val="24"/>
                <w:lang w:bidi="ar"/>
              </w:rPr>
              <w:t>2个 +10</w:t>
            </w:r>
          </w:p>
          <w:p w14:paraId="07ADB04C">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3个 +15  </w:t>
            </w:r>
          </w:p>
          <w:p w14:paraId="372B9D34">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4个 +20</w:t>
            </w:r>
          </w:p>
        </w:tc>
        <w:tc>
          <w:tcPr>
            <w:tcW w:w="1054" w:type="dxa"/>
            <w:vAlign w:val="center"/>
          </w:tcPr>
          <w:p w14:paraId="1F3A9FB8">
            <w:pPr>
              <w:jc w:val="center"/>
              <w:rPr>
                <w:rFonts w:hint="eastAsia" w:ascii="仿宋" w:hAnsi="仿宋" w:eastAsia="仿宋" w:cs="仿宋"/>
                <w:b/>
                <w:bCs/>
                <w:sz w:val="28"/>
                <w:szCs w:val="28"/>
              </w:rPr>
            </w:pPr>
          </w:p>
        </w:tc>
        <w:tc>
          <w:tcPr>
            <w:tcW w:w="1031" w:type="dxa"/>
            <w:vAlign w:val="center"/>
          </w:tcPr>
          <w:p w14:paraId="270E28CB">
            <w:pPr>
              <w:jc w:val="center"/>
              <w:rPr>
                <w:rFonts w:hint="eastAsia" w:ascii="仿宋" w:hAnsi="仿宋" w:eastAsia="仿宋" w:cs="仿宋"/>
                <w:b/>
                <w:bCs/>
                <w:sz w:val="28"/>
                <w:szCs w:val="28"/>
              </w:rPr>
            </w:pPr>
          </w:p>
        </w:tc>
      </w:tr>
      <w:tr w14:paraId="18E0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566F2256">
            <w:pP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志愿者救援</w:t>
            </w:r>
          </w:p>
        </w:tc>
        <w:tc>
          <w:tcPr>
            <w:tcW w:w="2654" w:type="dxa"/>
            <w:vAlign w:val="center"/>
          </w:tcPr>
          <w:p w14:paraId="00850F5E">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机器人将人仔运送到顶部平台。</w:t>
            </w:r>
          </w:p>
        </w:tc>
        <w:tc>
          <w:tcPr>
            <w:tcW w:w="1969" w:type="dxa"/>
            <w:vAlign w:val="center"/>
          </w:tcPr>
          <w:p w14:paraId="43B492A0">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+30</w:t>
            </w:r>
          </w:p>
        </w:tc>
        <w:tc>
          <w:tcPr>
            <w:tcW w:w="1054" w:type="dxa"/>
            <w:vAlign w:val="center"/>
          </w:tcPr>
          <w:p w14:paraId="0169DDA2">
            <w:pPr>
              <w:jc w:val="center"/>
              <w:rPr>
                <w:rFonts w:hint="eastAsia" w:ascii="仿宋" w:hAnsi="仿宋" w:eastAsia="仿宋" w:cs="仿宋"/>
                <w:b/>
                <w:bCs/>
                <w:sz w:val="28"/>
                <w:szCs w:val="28"/>
              </w:rPr>
            </w:pPr>
          </w:p>
        </w:tc>
        <w:tc>
          <w:tcPr>
            <w:tcW w:w="1031" w:type="dxa"/>
            <w:vAlign w:val="center"/>
          </w:tcPr>
          <w:p w14:paraId="55682F05">
            <w:pPr>
              <w:jc w:val="center"/>
              <w:rPr>
                <w:rFonts w:hint="eastAsia" w:ascii="仿宋" w:hAnsi="仿宋" w:eastAsia="仿宋" w:cs="仿宋"/>
                <w:b/>
                <w:bCs/>
                <w:sz w:val="28"/>
                <w:szCs w:val="28"/>
              </w:rPr>
            </w:pPr>
          </w:p>
        </w:tc>
      </w:tr>
      <w:tr w14:paraId="6F4B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018860ED">
            <w:pP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碳中和抵达</w:t>
            </w:r>
          </w:p>
        </w:tc>
        <w:tc>
          <w:tcPr>
            <w:tcW w:w="2654" w:type="dxa"/>
            <w:vAlign w:val="center"/>
          </w:tcPr>
          <w:p w14:paraId="67FB1181">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两台机器人分别停到碳中和抵达区域</w:t>
            </w:r>
          </w:p>
        </w:tc>
        <w:tc>
          <w:tcPr>
            <w:tcW w:w="1969" w:type="dxa"/>
            <w:vAlign w:val="center"/>
          </w:tcPr>
          <w:p w14:paraId="25DB5E8D">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一台 +15</w:t>
            </w:r>
          </w:p>
          <w:p w14:paraId="6BC7209C">
            <w:pPr>
              <w:widowControl/>
              <w:rPr>
                <w:rFonts w:hint="eastAsia" w:ascii="仿宋" w:hAnsi="仿宋" w:eastAsia="仿宋" w:cs="仿宋"/>
                <w:b/>
                <w:bCs/>
                <w:sz w:val="28"/>
                <w:szCs w:val="28"/>
              </w:rPr>
            </w:pPr>
            <w:r>
              <w:rPr>
                <w:rFonts w:hint="eastAsia" w:ascii="仿宋" w:hAnsi="仿宋" w:eastAsia="仿宋" w:cs="仿宋"/>
                <w:color w:val="000000"/>
                <w:kern w:val="0"/>
                <w:sz w:val="24"/>
                <w:lang w:bidi="ar"/>
              </w:rPr>
              <w:t>两台 +30</w:t>
            </w:r>
          </w:p>
        </w:tc>
        <w:tc>
          <w:tcPr>
            <w:tcW w:w="1054" w:type="dxa"/>
            <w:vAlign w:val="center"/>
          </w:tcPr>
          <w:p w14:paraId="513AF542">
            <w:pPr>
              <w:jc w:val="center"/>
              <w:rPr>
                <w:rFonts w:hint="eastAsia" w:ascii="仿宋" w:hAnsi="仿宋" w:eastAsia="仿宋" w:cs="仿宋"/>
                <w:b/>
                <w:bCs/>
                <w:sz w:val="28"/>
                <w:szCs w:val="28"/>
              </w:rPr>
            </w:pPr>
          </w:p>
        </w:tc>
        <w:tc>
          <w:tcPr>
            <w:tcW w:w="1031" w:type="dxa"/>
            <w:vAlign w:val="center"/>
          </w:tcPr>
          <w:p w14:paraId="5DDFD717">
            <w:pPr>
              <w:jc w:val="center"/>
              <w:rPr>
                <w:rFonts w:hint="eastAsia" w:ascii="仿宋" w:hAnsi="仿宋" w:eastAsia="仿宋" w:cs="仿宋"/>
                <w:b/>
                <w:bCs/>
                <w:sz w:val="28"/>
                <w:szCs w:val="28"/>
              </w:rPr>
            </w:pPr>
          </w:p>
        </w:tc>
      </w:tr>
      <w:tr w14:paraId="0125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3E6EB08C">
            <w:pP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扣分项</w:t>
            </w:r>
          </w:p>
        </w:tc>
        <w:tc>
          <w:tcPr>
            <w:tcW w:w="2654" w:type="dxa"/>
            <w:vAlign w:val="center"/>
          </w:tcPr>
          <w:p w14:paraId="3777BF74">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重试或不听从裁判指令将按每次扣 10 分判罚，严重情况可取消本场次成绩。</w:t>
            </w:r>
          </w:p>
        </w:tc>
        <w:tc>
          <w:tcPr>
            <w:tcW w:w="1969" w:type="dxa"/>
            <w:vAlign w:val="center"/>
          </w:tcPr>
          <w:p w14:paraId="07F8A1C1">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-10/次</w:t>
            </w:r>
          </w:p>
        </w:tc>
        <w:tc>
          <w:tcPr>
            <w:tcW w:w="1054" w:type="dxa"/>
            <w:vAlign w:val="center"/>
          </w:tcPr>
          <w:p w14:paraId="68623011">
            <w:pPr>
              <w:jc w:val="center"/>
              <w:rPr>
                <w:rFonts w:hint="eastAsia" w:ascii="仿宋" w:hAnsi="仿宋" w:eastAsia="仿宋" w:cs="仿宋"/>
                <w:b/>
                <w:bCs/>
                <w:sz w:val="28"/>
                <w:szCs w:val="28"/>
              </w:rPr>
            </w:pPr>
          </w:p>
        </w:tc>
        <w:tc>
          <w:tcPr>
            <w:tcW w:w="1031" w:type="dxa"/>
            <w:vAlign w:val="center"/>
          </w:tcPr>
          <w:p w14:paraId="19DAFCE8">
            <w:pPr>
              <w:jc w:val="center"/>
              <w:rPr>
                <w:rFonts w:hint="eastAsia" w:ascii="仿宋" w:hAnsi="仿宋" w:eastAsia="仿宋" w:cs="仿宋"/>
                <w:b/>
                <w:bCs/>
                <w:sz w:val="28"/>
                <w:szCs w:val="28"/>
              </w:rPr>
            </w:pPr>
          </w:p>
        </w:tc>
      </w:tr>
      <w:tr w14:paraId="2818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6" w:type="dxa"/>
            <w:vAlign w:val="center"/>
          </w:tcPr>
          <w:p w14:paraId="592B271E">
            <w:pP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时间分</w:t>
            </w:r>
          </w:p>
        </w:tc>
        <w:tc>
          <w:tcPr>
            <w:tcW w:w="2654" w:type="dxa"/>
            <w:vAlign w:val="center"/>
          </w:tcPr>
          <w:p w14:paraId="67887F77">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提前完成任务所用时间，提前一秒加1分</w:t>
            </w:r>
          </w:p>
        </w:tc>
        <w:tc>
          <w:tcPr>
            <w:tcW w:w="1969" w:type="dxa"/>
            <w:vAlign w:val="center"/>
          </w:tcPr>
          <w:p w14:paraId="7A8EE2B3">
            <w:pPr>
              <w:widowControl/>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1秒/+1分</w:t>
            </w:r>
          </w:p>
        </w:tc>
        <w:tc>
          <w:tcPr>
            <w:tcW w:w="1054" w:type="dxa"/>
            <w:vAlign w:val="center"/>
          </w:tcPr>
          <w:p w14:paraId="569BF180">
            <w:pPr>
              <w:jc w:val="center"/>
              <w:rPr>
                <w:rFonts w:hint="eastAsia" w:ascii="仿宋" w:hAnsi="仿宋" w:eastAsia="仿宋" w:cs="仿宋"/>
                <w:b/>
                <w:bCs/>
                <w:sz w:val="28"/>
                <w:szCs w:val="28"/>
              </w:rPr>
            </w:pPr>
          </w:p>
        </w:tc>
        <w:tc>
          <w:tcPr>
            <w:tcW w:w="1031" w:type="dxa"/>
            <w:vAlign w:val="center"/>
          </w:tcPr>
          <w:p w14:paraId="378C9ABC">
            <w:pPr>
              <w:jc w:val="center"/>
              <w:rPr>
                <w:rFonts w:hint="eastAsia" w:ascii="仿宋" w:hAnsi="仿宋" w:eastAsia="仿宋" w:cs="仿宋"/>
                <w:b/>
                <w:bCs/>
                <w:sz w:val="28"/>
                <w:szCs w:val="28"/>
              </w:rPr>
            </w:pPr>
          </w:p>
        </w:tc>
      </w:tr>
      <w:tr w14:paraId="45E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9" w:type="dxa"/>
            <w:gridSpan w:val="3"/>
            <w:vAlign w:val="center"/>
          </w:tcPr>
          <w:p w14:paraId="04643746">
            <w:pPr>
              <w:widowControl/>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总分</w:t>
            </w:r>
          </w:p>
        </w:tc>
        <w:tc>
          <w:tcPr>
            <w:tcW w:w="1054" w:type="dxa"/>
            <w:vAlign w:val="center"/>
          </w:tcPr>
          <w:p w14:paraId="13A922EB">
            <w:pPr>
              <w:jc w:val="center"/>
              <w:rPr>
                <w:rFonts w:hint="eastAsia" w:ascii="仿宋" w:hAnsi="仿宋" w:eastAsia="仿宋" w:cs="仿宋"/>
                <w:b/>
                <w:bCs/>
                <w:sz w:val="28"/>
                <w:szCs w:val="28"/>
              </w:rPr>
            </w:pPr>
          </w:p>
        </w:tc>
        <w:tc>
          <w:tcPr>
            <w:tcW w:w="1031" w:type="dxa"/>
            <w:vAlign w:val="center"/>
          </w:tcPr>
          <w:p w14:paraId="5AAD4FF8">
            <w:pPr>
              <w:jc w:val="center"/>
              <w:rPr>
                <w:rFonts w:hint="eastAsia" w:ascii="仿宋" w:hAnsi="仿宋" w:eastAsia="仿宋" w:cs="仿宋"/>
                <w:b/>
                <w:bCs/>
                <w:sz w:val="28"/>
                <w:szCs w:val="28"/>
              </w:rPr>
            </w:pPr>
          </w:p>
        </w:tc>
      </w:tr>
    </w:tbl>
    <w:p w14:paraId="7F8F0468">
      <w:pPr>
        <w:widowControl/>
        <w:jc w:val="left"/>
        <w:rPr>
          <w:rFonts w:hint="eastAsia" w:ascii="宋体" w:hAnsi="宋体" w:eastAsia="宋体" w:cs="宋体"/>
          <w:color w:val="000000"/>
          <w:kern w:val="0"/>
          <w:sz w:val="20"/>
          <w:szCs w:val="20"/>
          <w:lang w:bidi="ar"/>
        </w:rPr>
      </w:pPr>
    </w:p>
    <w:p w14:paraId="2CA8FB86">
      <w:pPr>
        <w:widowControl/>
        <w:spacing w:line="360" w:lineRule="auto"/>
        <w:jc w:val="left"/>
        <w:rPr>
          <w:rFonts w:hint="eastAsia" w:ascii="仿宋" w:hAnsi="仿宋" w:eastAsia="仿宋" w:cs="仿宋"/>
          <w:color w:val="000000"/>
          <w:kern w:val="0"/>
          <w:sz w:val="20"/>
          <w:szCs w:val="20"/>
          <w:lang w:bidi="ar"/>
        </w:rPr>
      </w:pPr>
      <w:r>
        <w:rPr>
          <w:rFonts w:hint="eastAsia" w:ascii="仿宋" w:hAnsi="仿宋" w:eastAsia="仿宋" w:cs="仿宋"/>
          <w:b/>
          <w:bCs/>
          <w:color w:val="000000"/>
          <w:kern w:val="0"/>
          <w:sz w:val="24"/>
          <w:lang w:bidi="ar"/>
        </w:rPr>
        <w:t>本人已确认以上比赛得分记录结果，真实有效，无任何异议。</w:t>
      </w:r>
      <w:r>
        <w:rPr>
          <w:rFonts w:hint="eastAsia" w:ascii="仿宋" w:hAnsi="仿宋" w:eastAsia="仿宋" w:cs="仿宋"/>
          <w:color w:val="000000"/>
          <w:kern w:val="0"/>
          <w:sz w:val="20"/>
          <w:szCs w:val="20"/>
          <w:lang w:bidi="ar"/>
        </w:rPr>
        <w:t xml:space="preserve"> </w:t>
      </w:r>
    </w:p>
    <w:p w14:paraId="69C61354">
      <w:pPr>
        <w:widowControl/>
        <w:spacing w:line="360" w:lineRule="auto"/>
        <w:jc w:val="left"/>
        <w:rPr>
          <w:rFonts w:hint="eastAsia" w:ascii="仿宋" w:hAnsi="仿宋" w:eastAsia="仿宋" w:cs="仿宋"/>
          <w:color w:val="000000"/>
          <w:kern w:val="0"/>
          <w:sz w:val="20"/>
          <w:szCs w:val="20"/>
          <w:lang w:bidi="ar"/>
        </w:rPr>
      </w:pPr>
    </w:p>
    <w:p w14:paraId="6EE05A93">
      <w:pPr>
        <w:widowControl/>
        <w:spacing w:line="360" w:lineRule="auto"/>
        <w:jc w:val="left"/>
        <w:rPr>
          <w:rFonts w:hint="eastAsia" w:ascii="仿宋" w:hAnsi="仿宋" w:eastAsia="仿宋" w:cs="仿宋"/>
          <w:color w:val="000000"/>
          <w:kern w:val="0"/>
          <w:sz w:val="24"/>
          <w:lang w:bidi="ar"/>
        </w:rPr>
      </w:pPr>
      <w:r>
        <w:rPr>
          <w:rFonts w:hint="eastAsia" w:ascii="仿宋" w:hAnsi="仿宋" w:eastAsia="仿宋" w:cs="仿宋"/>
          <w:b/>
          <w:bCs/>
          <w:color w:val="000000"/>
          <w:kern w:val="0"/>
          <w:sz w:val="24"/>
          <w:lang w:bidi="ar"/>
        </w:rPr>
        <w:t xml:space="preserve">场次 1 </w:t>
      </w:r>
      <w:r>
        <w:rPr>
          <w:rFonts w:hint="eastAsia" w:ascii="仿宋" w:hAnsi="仿宋" w:eastAsia="仿宋" w:cs="仿宋"/>
          <w:color w:val="000000"/>
          <w:kern w:val="0"/>
          <w:sz w:val="24"/>
          <w:lang w:bidi="ar"/>
        </w:rPr>
        <w:t>参赛选手签字：</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 xml:space="preserve"> </w:t>
      </w:r>
    </w:p>
    <w:p w14:paraId="2FFFAA2C">
      <w:pPr>
        <w:widowControl/>
        <w:spacing w:line="360" w:lineRule="auto"/>
        <w:jc w:val="left"/>
        <w:rPr>
          <w:rFonts w:hint="eastAsia" w:ascii="仿宋" w:hAnsi="仿宋" w:eastAsia="仿宋" w:cs="仿宋"/>
          <w:color w:val="000000"/>
          <w:kern w:val="0"/>
          <w:sz w:val="24"/>
          <w:lang w:bidi="ar"/>
        </w:rPr>
      </w:pPr>
    </w:p>
    <w:p w14:paraId="7E301BB1">
      <w:pPr>
        <w:widowControl/>
        <w:spacing w:line="360" w:lineRule="auto"/>
        <w:jc w:val="left"/>
        <w:rPr>
          <w:rFonts w:hint="eastAsia" w:ascii="仿宋" w:hAnsi="仿宋" w:eastAsia="仿宋" w:cs="仿宋"/>
          <w:color w:val="000000"/>
          <w:kern w:val="0"/>
          <w:sz w:val="24"/>
          <w:lang w:bidi="ar"/>
        </w:rPr>
      </w:pPr>
      <w:r>
        <w:rPr>
          <w:rFonts w:hint="eastAsia" w:ascii="仿宋" w:hAnsi="仿宋" w:eastAsia="仿宋" w:cs="仿宋"/>
          <w:b/>
          <w:bCs/>
          <w:color w:val="000000"/>
          <w:kern w:val="0"/>
          <w:sz w:val="24"/>
          <w:lang w:bidi="ar"/>
        </w:rPr>
        <w:t xml:space="preserve">场次 2 </w:t>
      </w:r>
      <w:r>
        <w:rPr>
          <w:rFonts w:hint="eastAsia" w:ascii="仿宋" w:hAnsi="仿宋" w:eastAsia="仿宋" w:cs="仿宋"/>
          <w:color w:val="000000"/>
          <w:kern w:val="0"/>
          <w:sz w:val="24"/>
          <w:lang w:bidi="ar"/>
        </w:rPr>
        <w:t>参赛选手签字：</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 xml:space="preserve">  </w:t>
      </w:r>
    </w:p>
    <w:p w14:paraId="16A360F8">
      <w:pPr>
        <w:widowControl/>
        <w:spacing w:line="360" w:lineRule="auto"/>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 xml:space="preserve">   </w:t>
      </w:r>
    </w:p>
    <w:p w14:paraId="14CBD3C0">
      <w:pPr>
        <w:widowControl/>
        <w:spacing w:line="360" w:lineRule="auto"/>
        <w:jc w:val="left"/>
        <w:rPr>
          <w:rFonts w:hint="eastAsia" w:ascii="仿宋" w:hAnsi="仿宋" w:eastAsia="仿宋" w:cs="仿宋"/>
          <w:b/>
          <w:bCs/>
          <w:sz w:val="28"/>
          <w:szCs w:val="28"/>
        </w:rPr>
      </w:pPr>
      <w:r>
        <w:rPr>
          <w:rFonts w:hint="eastAsia" w:ascii="仿宋" w:hAnsi="仿宋" w:eastAsia="仿宋" w:cs="仿宋"/>
          <w:color w:val="000000"/>
          <w:kern w:val="0"/>
          <w:sz w:val="24"/>
          <w:lang w:bidi="ar"/>
        </w:rPr>
        <w:t>裁判员签字：</w:t>
      </w:r>
      <w:r>
        <w:rPr>
          <w:rFonts w:hint="eastAsia" w:ascii="仿宋" w:hAnsi="仿宋" w:eastAsia="仿宋" w:cs="仿宋"/>
          <w:color w:val="000000"/>
          <w:kern w:val="0"/>
          <w:sz w:val="24"/>
          <w:u w:val="single"/>
          <w:lang w:bidi="ar"/>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51C57"/>
    <w:multiLevelType w:val="singleLevel"/>
    <w:tmpl w:val="A1F51C57"/>
    <w:lvl w:ilvl="0" w:tentative="0">
      <w:start w:val="1"/>
      <w:numFmt w:val="decimal"/>
      <w:lvlText w:val="%1."/>
      <w:lvlJc w:val="left"/>
      <w:pPr>
        <w:ind w:left="425" w:hanging="425"/>
      </w:pPr>
      <w:rPr>
        <w:rFonts w:hint="default"/>
      </w:rPr>
    </w:lvl>
  </w:abstractNum>
  <w:abstractNum w:abstractNumId="1">
    <w:nsid w:val="267133CF"/>
    <w:multiLevelType w:val="singleLevel"/>
    <w:tmpl w:val="267133C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3NzZlYzZmMzRjM2I5MjU0NWZiMzYzNTAyMDA0NDQifQ=="/>
  </w:docVars>
  <w:rsids>
    <w:rsidRoot w:val="685408CB"/>
    <w:rsid w:val="00022EB5"/>
    <w:rsid w:val="00085101"/>
    <w:rsid w:val="00094D5F"/>
    <w:rsid w:val="000A322F"/>
    <w:rsid w:val="00112471"/>
    <w:rsid w:val="001E3B84"/>
    <w:rsid w:val="00326030"/>
    <w:rsid w:val="00412F43"/>
    <w:rsid w:val="00436323"/>
    <w:rsid w:val="004E5940"/>
    <w:rsid w:val="00546937"/>
    <w:rsid w:val="00574C23"/>
    <w:rsid w:val="005A476A"/>
    <w:rsid w:val="006C7BA9"/>
    <w:rsid w:val="007637EF"/>
    <w:rsid w:val="00763AAA"/>
    <w:rsid w:val="0077011F"/>
    <w:rsid w:val="00871188"/>
    <w:rsid w:val="0088651B"/>
    <w:rsid w:val="0090557C"/>
    <w:rsid w:val="009103C5"/>
    <w:rsid w:val="009743B7"/>
    <w:rsid w:val="00976A4B"/>
    <w:rsid w:val="0098638D"/>
    <w:rsid w:val="00A720C2"/>
    <w:rsid w:val="00A83461"/>
    <w:rsid w:val="00B05740"/>
    <w:rsid w:val="00BB6452"/>
    <w:rsid w:val="00C24D08"/>
    <w:rsid w:val="00C26AE6"/>
    <w:rsid w:val="00D2526F"/>
    <w:rsid w:val="00D7609D"/>
    <w:rsid w:val="00DA7E91"/>
    <w:rsid w:val="00DB07F4"/>
    <w:rsid w:val="00F07EEE"/>
    <w:rsid w:val="00F6608D"/>
    <w:rsid w:val="00FA10BA"/>
    <w:rsid w:val="03FF7899"/>
    <w:rsid w:val="064F1EA9"/>
    <w:rsid w:val="07CB44C2"/>
    <w:rsid w:val="0814758C"/>
    <w:rsid w:val="094E4B54"/>
    <w:rsid w:val="0996403D"/>
    <w:rsid w:val="0BE36DFF"/>
    <w:rsid w:val="0C4768A1"/>
    <w:rsid w:val="155562DA"/>
    <w:rsid w:val="19F073CD"/>
    <w:rsid w:val="1B5B48E2"/>
    <w:rsid w:val="1D177597"/>
    <w:rsid w:val="1FC202D4"/>
    <w:rsid w:val="212F5173"/>
    <w:rsid w:val="21CA5F6D"/>
    <w:rsid w:val="2261589E"/>
    <w:rsid w:val="24B90382"/>
    <w:rsid w:val="25570229"/>
    <w:rsid w:val="2624659D"/>
    <w:rsid w:val="26AD1CAF"/>
    <w:rsid w:val="2BC877A8"/>
    <w:rsid w:val="2E1122DB"/>
    <w:rsid w:val="30A618AC"/>
    <w:rsid w:val="330E56B5"/>
    <w:rsid w:val="35BD0C2D"/>
    <w:rsid w:val="374060F8"/>
    <w:rsid w:val="396023ED"/>
    <w:rsid w:val="39F430E7"/>
    <w:rsid w:val="3BAE096A"/>
    <w:rsid w:val="3E5D338F"/>
    <w:rsid w:val="3FF72495"/>
    <w:rsid w:val="405067BB"/>
    <w:rsid w:val="454F6094"/>
    <w:rsid w:val="45EB6847"/>
    <w:rsid w:val="47344B9C"/>
    <w:rsid w:val="4C5108EA"/>
    <w:rsid w:val="4DE825CC"/>
    <w:rsid w:val="4E0D6088"/>
    <w:rsid w:val="504B31B4"/>
    <w:rsid w:val="522A1B75"/>
    <w:rsid w:val="556522AE"/>
    <w:rsid w:val="57130967"/>
    <w:rsid w:val="5B9C2737"/>
    <w:rsid w:val="5CAE5BEB"/>
    <w:rsid w:val="615927EE"/>
    <w:rsid w:val="64043076"/>
    <w:rsid w:val="6565141D"/>
    <w:rsid w:val="65CB475C"/>
    <w:rsid w:val="66F85D1D"/>
    <w:rsid w:val="685408CB"/>
    <w:rsid w:val="6DCB0A43"/>
    <w:rsid w:val="6E2B2A93"/>
    <w:rsid w:val="71BC1F06"/>
    <w:rsid w:val="73936FD4"/>
    <w:rsid w:val="761D2601"/>
    <w:rsid w:val="78D24118"/>
    <w:rsid w:val="78E467CD"/>
    <w:rsid w:val="797042D5"/>
    <w:rsid w:val="7F313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uiPriority w:val="0"/>
    <w:rPr>
      <w:rFonts w:asciiTheme="minorHAnsi" w:hAnsiTheme="minorHAnsi" w:eastAsiaTheme="minorEastAsia" w:cstheme="minorBidi"/>
      <w:kern w:val="2"/>
      <w:sz w:val="18"/>
      <w:szCs w:val="18"/>
    </w:rPr>
  </w:style>
  <w:style w:type="character" w:customStyle="1" w:styleId="9">
    <w:name w:val="页脚 字符"/>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4429</Words>
  <Characters>4755</Characters>
  <Lines>362</Lines>
  <Paragraphs>185</Paragraphs>
  <TotalTime>21</TotalTime>
  <ScaleCrop>false</ScaleCrop>
  <LinksUpToDate>false</LinksUpToDate>
  <CharactersWithSpaces>5039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2025-09-03T07:17:00Z</dcterms:created>
  <dc:creator>古月</dc:creator>
  <cp:lastModifiedBy>微尘</cp:lastModifiedBy>
  <cp:lastPrinted>2025-10-15T02:43:00Z</cp:lastPrinted>
  <dcterms:modified xsi:type="dcterms:W3CDTF">2025-10-16T03:50:00Z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721BFF7AC0F24E1E8B0154E1FBF36F2C_11</vt:lpwstr>
  </property>
  <property fmtid="{D5CDD505-2E9C-101B-9397-08002B2CF9AE}" pid="4" name="KSOTemplateDocerSaveRecord">
    <vt:lpwstr>eyJoZGlkIjoiMDRlMTliNTU0N2YyM2EwZjViMDBlMjEyYjRjYWExOGMiLCJ1c2VySWQiOiI2MDQ4MTg0MzkifQ==</vt:lpwstr>
  </property>
</Properties>
</file>