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 w:val="left" w:pos="1560"/>
          <w:tab w:val="left" w:pos="1843"/>
          <w:tab w:val="left" w:pos="1985"/>
        </w:tabs>
        <w:rPr>
          <w:rFonts w:ascii="仿宋_GB2312" w:hAnsi="黑体" w:eastAsia="仿宋_GB2312" w:cstheme="minorBidi"/>
          <w:color w:val="000000" w:themeColor="text1"/>
          <w:sz w:val="32"/>
          <w:szCs w:val="32"/>
          <w14:textFill>
            <w14:solidFill>
              <w14:schemeClr w14:val="tx1"/>
            </w14:solidFill>
          </w14:textFill>
        </w:rPr>
      </w:pPr>
      <w:bookmarkStart w:id="0" w:name="_Toc38007899"/>
      <w:bookmarkStart w:id="1" w:name="_Toc1981353"/>
      <w:r>
        <w:rPr>
          <w:rFonts w:hint="eastAsia" w:ascii="仿宋_GB2312" w:hAnsi="黑体" w:eastAsia="仿宋_GB2312" w:cstheme="minorBidi"/>
          <w:color w:val="000000" w:themeColor="text1"/>
          <w:sz w:val="32"/>
          <w:szCs w:val="32"/>
          <w14:textFill>
            <w14:solidFill>
              <w14:schemeClr w14:val="tx1"/>
            </w14:solidFill>
          </w14:textFill>
        </w:rPr>
        <w:t>附件1：</w:t>
      </w:r>
    </w:p>
    <w:p>
      <w:pPr>
        <w:tabs>
          <w:tab w:val="left" w:pos="1276"/>
          <w:tab w:val="left" w:pos="1560"/>
          <w:tab w:val="left" w:pos="1843"/>
          <w:tab w:val="left" w:pos="1985"/>
        </w:tabs>
        <w:snapToGrid w:val="0"/>
        <w:spacing w:line="264" w:lineRule="auto"/>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活动项目说明及要求</w:t>
      </w:r>
      <w:bookmarkEnd w:id="0"/>
    </w:p>
    <w:p>
      <w:pPr>
        <w:snapToGrid w:val="0"/>
        <w:spacing w:line="264" w:lineRule="auto"/>
        <w:ind w:firstLine="640" w:firstLineChars="200"/>
        <w:rPr>
          <w:rFonts w:ascii="黑体" w:hAnsi="黑体" w:eastAsia="黑体" w:cs="宋体"/>
          <w:color w:val="000000" w:themeColor="text1"/>
          <w:sz w:val="32"/>
          <w:szCs w:val="32"/>
          <w14:textFill>
            <w14:solidFill>
              <w14:schemeClr w14:val="tx1"/>
            </w14:solidFill>
          </w14:textFill>
        </w:rPr>
      </w:pPr>
      <w:bookmarkStart w:id="2" w:name="_Toc94346061"/>
    </w:p>
    <w:p>
      <w:pPr>
        <w:spacing w:line="540" w:lineRule="exact"/>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一、微课：</w:t>
      </w:r>
    </w:p>
    <w:p>
      <w:pPr>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指教师围绕单一学习主题，以知识点讲解、教学重难点和典型问题解决、技能操作和实验过程演示等为主要内容，使用摄录设备、录屏软件等拍摄制作的视频教学资源。主要形式为讲授视频，或讲授者使用PPT、手写板配合画图软件和电子白板等方式对相关教学内容进行批注和讲解的视频。</w:t>
      </w:r>
    </w:p>
    <w:p>
      <w:pPr>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媒体格式（mp4视频编码，视频H264，音频AAC，码率1Mbps），画面尺寸为640×480以上，播放时间不超过10分钟。</w:t>
      </w:r>
    </w:p>
    <w:p>
      <w:pPr>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根据学科和教学内容特点，如有学习指导、练习题和配套学习资源等材料请一并提交。</w:t>
      </w:r>
    </w:p>
    <w:p>
      <w:pPr>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（2）报送形式：作品以zip压缩包格式（含附件1）报送，总大小建议不超过700MB。</w:t>
      </w:r>
    </w:p>
    <w:p>
      <w:pPr>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（3）评选标准：</w:t>
      </w:r>
    </w:p>
    <w:p>
      <w:pPr>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8"/>
        <w:widowControl w:val="0"/>
        <w:shd w:val="clear" w:color="auto" w:fill="FFFFFF"/>
        <w:snapToGrid w:val="0"/>
        <w:spacing w:before="0" w:beforeAutospacing="0" w:after="0" w:afterAutospacing="0" w:line="264" w:lineRule="auto"/>
        <w:jc w:val="center"/>
        <w:rPr>
          <w:rFonts w:ascii="方正小标宋简体" w:eastAsia="方正小标宋简体" w:cs="微软雅黑"/>
          <w:color w:val="000000" w:themeColor="text1"/>
          <w:sz w:val="36"/>
          <w:szCs w:val="36"/>
          <w:shd w:val="clear" w:color="auto" w:fill="FFFFFF"/>
          <w14:textFill>
            <w14:solidFill>
              <w14:schemeClr w14:val="tx1"/>
            </w14:solidFill>
          </w14:textFill>
        </w:rPr>
      </w:pPr>
      <w:r>
        <w:rPr>
          <w:rFonts w:hint="eastAsia" w:ascii="方正小标宋简体" w:eastAsia="方正小标宋简体" w:cs="微软雅黑"/>
          <w:color w:val="000000" w:themeColor="text1"/>
          <w:sz w:val="36"/>
          <w:szCs w:val="36"/>
          <w:shd w:val="clear" w:color="auto" w:fill="FFFFFF"/>
          <w14:textFill>
            <w14:solidFill>
              <w14:schemeClr w14:val="tx1"/>
            </w14:solidFill>
          </w14:textFill>
        </w:rPr>
        <w:t>天门市微课作品评审标准</w:t>
      </w:r>
    </w:p>
    <w:p>
      <w:pPr>
        <w:pStyle w:val="8"/>
        <w:widowControl w:val="0"/>
        <w:shd w:val="clear" w:color="auto" w:fill="FFFFFF"/>
        <w:snapToGrid w:val="0"/>
        <w:spacing w:before="0" w:beforeAutospacing="0" w:after="0" w:afterAutospacing="0" w:line="264" w:lineRule="auto"/>
        <w:jc w:val="center"/>
        <w:rPr>
          <w:rFonts w:ascii="方正小标宋简体" w:eastAsia="方正小标宋简体" w:cs="微软雅黑"/>
          <w:color w:val="000000" w:themeColor="text1"/>
          <w:sz w:val="36"/>
          <w:szCs w:val="36"/>
          <w:shd w:val="clear" w:color="auto" w:fill="FFFFFF"/>
          <w14:textFill>
            <w14:solidFill>
              <w14:schemeClr w14:val="tx1"/>
            </w14:solidFill>
          </w14:textFill>
        </w:rPr>
      </w:pPr>
    </w:p>
    <w:tbl>
      <w:tblPr>
        <w:tblStyle w:val="9"/>
        <w:tblW w:w="98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5"/>
        <w:gridCol w:w="2126"/>
        <w:gridCol w:w="1233"/>
        <w:gridCol w:w="53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1" w:hRule="atLeast"/>
          <w:jc w:val="center"/>
        </w:trPr>
        <w:tc>
          <w:tcPr>
            <w:tcW w:w="1115" w:type="dxa"/>
            <w:tcBorders>
              <w:tl2br w:val="nil"/>
              <w:tr2bl w:val="nil"/>
            </w:tcBorders>
            <w:shd w:val="clear" w:color="auto" w:fill="FFFFFF" w:themeFill="background1"/>
            <w:vAlign w:val="center"/>
          </w:tcPr>
          <w:p>
            <w:pPr>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一级指标</w:t>
            </w:r>
          </w:p>
        </w:tc>
        <w:tc>
          <w:tcPr>
            <w:tcW w:w="2126" w:type="dxa"/>
            <w:tcBorders>
              <w:tl2br w:val="nil"/>
              <w:tr2bl w:val="nil"/>
            </w:tcBorders>
            <w:shd w:val="clear" w:color="auto" w:fill="FFFFFF" w:themeFill="background1"/>
            <w:vAlign w:val="center"/>
          </w:tcPr>
          <w:p>
            <w:pPr>
              <w:snapToGrid w:val="0"/>
              <w:jc w:val="center"/>
              <w:rPr>
                <w:rFonts w:ascii="宋体" w:hAnsi="宋体" w:cs="宋体"/>
                <w:b/>
                <w:color w:val="000000" w:themeColor="text1"/>
                <w:kern w:val="0"/>
                <w:szCs w:val="21"/>
                <w14:textFill>
                  <w14:solidFill>
                    <w14:schemeClr w14:val="tx1"/>
                  </w14:solidFill>
                </w14:textFill>
              </w:rPr>
            </w:pPr>
          </w:p>
        </w:tc>
        <w:tc>
          <w:tcPr>
            <w:tcW w:w="1233" w:type="dxa"/>
            <w:tcBorders>
              <w:tl2br w:val="nil"/>
              <w:tr2bl w:val="nil"/>
            </w:tcBorders>
            <w:shd w:val="clear" w:color="auto" w:fill="FFFFFF" w:themeFill="background1"/>
            <w:vAlign w:val="center"/>
          </w:tcPr>
          <w:p>
            <w:pPr>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二级指标</w:t>
            </w:r>
          </w:p>
        </w:tc>
        <w:tc>
          <w:tcPr>
            <w:tcW w:w="5355" w:type="dxa"/>
            <w:tcBorders>
              <w:tl2br w:val="nil"/>
              <w:tr2bl w:val="nil"/>
            </w:tcBorders>
            <w:shd w:val="clear" w:color="auto" w:fill="FFFFFF" w:themeFill="background1"/>
            <w:vAlign w:val="center"/>
          </w:tcPr>
          <w:p>
            <w:pPr>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指标说明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115" w:type="dxa"/>
            <w:vMerge w:val="restart"/>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作品规范</w:t>
            </w:r>
          </w:p>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(15分)</w:t>
            </w:r>
          </w:p>
        </w:tc>
        <w:tc>
          <w:tcPr>
            <w:tcW w:w="2126" w:type="dxa"/>
            <w:vMerge w:val="restart"/>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视频声画质量好。</w:t>
            </w: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时长规范</w:t>
            </w:r>
          </w:p>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微课视频时长不超过10分钟。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0" w:hRule="atLeast"/>
          <w:jc w:val="center"/>
        </w:trPr>
        <w:tc>
          <w:tcPr>
            <w:tcW w:w="1115" w:type="dxa"/>
            <w:vMerge w:val="continue"/>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p>
        </w:tc>
        <w:tc>
          <w:tcPr>
            <w:tcW w:w="2126" w:type="dxa"/>
            <w:vMerge w:val="continue"/>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画面规范</w:t>
            </w:r>
          </w:p>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视频画质清晰、图像稳定、声音与画面同步。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1115" w:type="dxa"/>
            <w:vMerge w:val="continue"/>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p>
        </w:tc>
        <w:tc>
          <w:tcPr>
            <w:tcW w:w="2126" w:type="dxa"/>
            <w:vMerge w:val="continue"/>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语言规范</w:t>
            </w:r>
          </w:p>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声音清楚（无杂音）、语言标准，声音洪亮、有节奏感，语言富有感染力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2" w:hRule="atLeast"/>
          <w:jc w:val="center"/>
        </w:trPr>
        <w:tc>
          <w:tcPr>
            <w:tcW w:w="1115" w:type="dxa"/>
            <w:vMerge w:val="restart"/>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教学设计(30分)</w:t>
            </w:r>
          </w:p>
        </w:tc>
        <w:tc>
          <w:tcPr>
            <w:tcW w:w="2126" w:type="dxa"/>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体现新课标的理念,主题明确、重点突出。</w:t>
            </w: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选题简明</w:t>
            </w:r>
          </w:p>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主要针对知识点、例题/习题、实验活动等环节进行讲授、演算、分析、推理、答疑等教学选题。尽量“小（微）而精”，建议围绕某个具体的点，而不是抽象、宽泛的面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9" w:hRule="atLeast"/>
          <w:jc w:val="center"/>
        </w:trPr>
        <w:tc>
          <w:tcPr>
            <w:tcW w:w="1115" w:type="dxa"/>
            <w:vMerge w:val="continue"/>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p>
        </w:tc>
        <w:tc>
          <w:tcPr>
            <w:tcW w:w="2126" w:type="dxa"/>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教学策略和教学方法选用恰当。</w:t>
            </w: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设计合理</w:t>
            </w:r>
          </w:p>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应围绕教学或学习中的常见、典型、有代表的问题或内容进行针对性设计，要能够有效解决教与学过程中的重点、难点、疑点、考点等问题。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6" w:hRule="atLeast"/>
          <w:jc w:val="center"/>
        </w:trPr>
        <w:tc>
          <w:tcPr>
            <w:tcW w:w="1115" w:type="dxa"/>
            <w:vMerge w:val="continue"/>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p>
        </w:tc>
        <w:tc>
          <w:tcPr>
            <w:tcW w:w="2126" w:type="dxa"/>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合理运用信息技术手段。</w:t>
            </w: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技术得当</w:t>
            </w:r>
          </w:p>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合理使用手写板、电子白板、黑板、白纸、手机、Pad、DV摄像机、数码相机等硬件设备及ppt、录屏软件、白板软件、动画软件、视频编辑工具等软件制作微课。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0" w:hRule="atLeast"/>
          <w:jc w:val="center"/>
        </w:trPr>
        <w:tc>
          <w:tcPr>
            <w:tcW w:w="1115" w:type="dxa"/>
            <w:vMerge w:val="restart"/>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教学行为(20分)</w:t>
            </w:r>
          </w:p>
        </w:tc>
        <w:tc>
          <w:tcPr>
            <w:tcW w:w="2126" w:type="dxa"/>
            <w:vMerge w:val="restart"/>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教学思路清晰，重点突出，逻辑性强；</w:t>
            </w:r>
          </w:p>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教学过程深入浅出、形象生动、通俗易懂，充分调动学生的学习积极性。</w:t>
            </w: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科学正确</w:t>
            </w:r>
          </w:p>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教学内容严谨，不出现任何科学性错误。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0" w:hRule="atLeast"/>
          <w:jc w:val="center"/>
        </w:trPr>
        <w:tc>
          <w:tcPr>
            <w:tcW w:w="1115" w:type="dxa"/>
            <w:vMerge w:val="continue"/>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p>
        </w:tc>
        <w:tc>
          <w:tcPr>
            <w:tcW w:w="2126" w:type="dxa"/>
            <w:vMerge w:val="continue"/>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逻辑清晰</w:t>
            </w:r>
          </w:p>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教学内容的组织与编排，要符合学生的认知逻辑规律，过程主线清晰、重点突出，逻辑性强，明了易懂。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15" w:type="dxa"/>
            <w:vMerge w:val="restart"/>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教学效果(20分)</w:t>
            </w:r>
          </w:p>
        </w:tc>
        <w:tc>
          <w:tcPr>
            <w:tcW w:w="2126" w:type="dxa"/>
            <w:vMerge w:val="restart"/>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教学和信息素养目标达成度高；</w:t>
            </w:r>
          </w:p>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注重培养学生自主学习能力。</w:t>
            </w: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目标达成(10分)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完成设定的教学目标，有效解决实际教学问题，促进学生思维的提升、能力的提高。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115" w:type="dxa"/>
            <w:vMerge w:val="continue"/>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p>
        </w:tc>
        <w:tc>
          <w:tcPr>
            <w:tcW w:w="2126" w:type="dxa"/>
            <w:vMerge w:val="continue"/>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教学方法与手段</w:t>
            </w:r>
          </w:p>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教学方法有创意，不拘泥于传统的课堂教学模式;教学策略选择正确，注意调动学生的学习积极性和创造性思维能力。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43" w:hRule="atLeast"/>
          <w:jc w:val="center"/>
        </w:trPr>
        <w:tc>
          <w:tcPr>
            <w:tcW w:w="1115" w:type="dxa"/>
            <w:vMerge w:val="restart"/>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创新与实用(15分)</w:t>
            </w:r>
          </w:p>
        </w:tc>
        <w:tc>
          <w:tcPr>
            <w:tcW w:w="2126" w:type="dxa"/>
            <w:vMerge w:val="restart"/>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形式新颖，趣味性和启发性强; </w:t>
            </w:r>
          </w:p>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实际教学应用效果明显，有推广价值。</w:t>
            </w: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创新性</w:t>
            </w:r>
          </w:p>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构思新颖，教学方法富有创意。</w:t>
            </w:r>
          </w:p>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如形式创新-5：可以不拘泥于传统的课堂教学模式，类型包括但不限于：教授类、解题类、答疑类、实验类、活动类、其他类；</w:t>
            </w:r>
          </w:p>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如技术创新-5：录制方法与工具可以自由组合，如用手写板、电子白板、实拍、Focusky、万彩、手绘工具等制作。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jc w:val="center"/>
        </w:trPr>
        <w:tc>
          <w:tcPr>
            <w:tcW w:w="1115" w:type="dxa"/>
            <w:vMerge w:val="continue"/>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p>
        </w:tc>
        <w:tc>
          <w:tcPr>
            <w:tcW w:w="2126" w:type="dxa"/>
            <w:vMerge w:val="continue"/>
            <w:tcBorders>
              <w:tl2br w:val="nil"/>
              <w:tr2bl w:val="nil"/>
            </w:tcBorders>
            <w:vAlign w:val="center"/>
          </w:tcPr>
          <w:p>
            <w:pPr>
              <w:adjustRightInd w:val="0"/>
              <w:snapToGrid w:val="0"/>
              <w:rPr>
                <w:rFonts w:ascii="宋体" w:hAnsi="宋体" w:cs="宋体"/>
                <w:color w:val="000000" w:themeColor="text1"/>
                <w:kern w:val="0"/>
                <w:szCs w:val="21"/>
                <w14:textFill>
                  <w14:solidFill>
                    <w14:schemeClr w14:val="tx1"/>
                  </w14:solidFill>
                </w14:textFill>
              </w:rPr>
            </w:pPr>
          </w:p>
        </w:tc>
        <w:tc>
          <w:tcPr>
            <w:tcW w:w="1233" w:type="dxa"/>
            <w:tcBorders>
              <w:tl2br w:val="nil"/>
              <w:tr2bl w:val="nil"/>
            </w:tcBorders>
            <w:vAlign w:val="center"/>
          </w:tcPr>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实用性</w:t>
            </w:r>
          </w:p>
          <w:p>
            <w:pPr>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5355" w:type="dxa"/>
            <w:tcBorders>
              <w:tl2br w:val="nil"/>
              <w:tr2bl w:val="nil"/>
            </w:tcBorders>
            <w:vAlign w:val="center"/>
          </w:tcPr>
          <w:p>
            <w:pPr>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教学过程深入浅出，形象生动，精彩有趣，启发引导性强，有利于提升学生学习积极性、主动性；实际教学应用效果明显，有推广价值。</w:t>
            </w:r>
          </w:p>
        </w:tc>
      </w:tr>
      <w:bookmarkEnd w:id="2"/>
    </w:tbl>
    <w:p>
      <w:pPr>
        <w:spacing w:line="570" w:lineRule="exact"/>
        <w:ind w:firstLine="640" w:firstLineChars="200"/>
        <w:rPr>
          <w:rFonts w:ascii="仿宋_GB2312" w:eastAsia="仿宋_GB2312"/>
          <w:color w:val="000000" w:themeColor="text1"/>
          <w:sz w:val="28"/>
          <w:szCs w:val="28"/>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二、课件：</w:t>
      </w:r>
    </w:p>
    <w:p>
      <w:p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指基于数字化、网络化、智能化信息技术和多媒体技术，根据教学内容、目标、过程、方法与评价进行设计、制作完成的应用软件。各类教学软件、学生自主学习软件、教学评价软件、仿真实验软件等均可报送。</w:t>
      </w:r>
    </w:p>
    <w:p>
      <w:pPr>
        <w:snapToGrid w:val="0"/>
        <w:spacing w:line="560" w:lineRule="exact"/>
        <w:ind w:firstLine="627"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（1）制作要求：视频、声音、动画等素材使用常用文件格式。</w:t>
      </w:r>
    </w:p>
    <w:p>
      <w:pPr>
        <w:snapToGrid w:val="0"/>
        <w:spacing w:line="560" w:lineRule="exact"/>
        <w:ind w:firstLine="627"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报送形式：作品以zip压缩包格式（含附件1）报送，总大小建议不超过700MB。课件应易于安装、运行和卸载；如需非常用软件运行或播放，请同时提供该软件，如相关字体、白板软件等。建议同时报送软件运行录屏解说文件，如软件安装包体积过大，请联系组织方提前准备下载地址。</w:t>
      </w:r>
    </w:p>
    <w:p>
      <w:pPr>
        <w:snapToGrid w:val="0"/>
        <w:spacing w:line="560" w:lineRule="exact"/>
        <w:ind w:firstLine="627"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（3）评选标准</w:t>
      </w:r>
      <w:r>
        <w:rPr>
          <w:rFonts w:ascii="仿宋_GB2312" w:eastAsia="仿宋_GB2312"/>
          <w:color w:val="000000" w:themeColor="text1"/>
          <w:sz w:val="32"/>
          <w:szCs w:val="32"/>
          <w14:textFill>
            <w14:solidFill>
              <w14:schemeClr w14:val="tx1"/>
            </w14:solidFill>
          </w14:textFill>
        </w:rPr>
        <w:t>：</w:t>
      </w:r>
    </w:p>
    <w:tbl>
      <w:tblPr>
        <w:tblStyle w:val="9"/>
        <w:tblW w:w="90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1"/>
        <w:gridCol w:w="71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jc w:val="center"/>
        </w:trPr>
        <w:tc>
          <w:tcPr>
            <w:tcW w:w="1911" w:type="dxa"/>
            <w:tcBorders>
              <w:tl2br w:val="nil"/>
              <w:tr2bl w:val="nil"/>
            </w:tcBorders>
            <w:vAlign w:val="center"/>
          </w:tcPr>
          <w:p>
            <w:pPr>
              <w:adjustRightInd w:val="0"/>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评选指标</w:t>
            </w:r>
          </w:p>
        </w:tc>
        <w:tc>
          <w:tcPr>
            <w:tcW w:w="7147" w:type="dxa"/>
            <w:tcBorders>
              <w:tl2br w:val="nil"/>
              <w:tr2bl w:val="nil"/>
            </w:tcBorders>
            <w:vAlign w:val="center"/>
          </w:tcPr>
          <w:p>
            <w:pPr>
              <w:adjustRightInd w:val="0"/>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评选要素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11" w:type="dxa"/>
            <w:tcBorders>
              <w:tl2br w:val="nil"/>
              <w:tr2bl w:val="nil"/>
            </w:tcBorders>
            <w:vAlign w:val="center"/>
          </w:tcPr>
          <w:p>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教学设计</w:t>
            </w:r>
          </w:p>
          <w:p>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w:t>
            </w:r>
          </w:p>
        </w:tc>
        <w:tc>
          <w:tcPr>
            <w:tcW w:w="7147" w:type="dxa"/>
            <w:tcBorders>
              <w:tl2br w:val="nil"/>
              <w:tr2bl w:val="nil"/>
            </w:tcBorders>
            <w:vAlign w:val="center"/>
          </w:tcPr>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教学目标、对象明确，教学策略得当（</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分）；界面设计合理，风格统一，有必要的交互（</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分）；有清晰的文字介绍和帮助文档（</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11" w:type="dxa"/>
            <w:tcBorders>
              <w:tl2br w:val="nil"/>
              <w:tr2bl w:val="nil"/>
            </w:tcBorders>
            <w:vAlign w:val="center"/>
          </w:tcPr>
          <w:p>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内容呈现</w:t>
            </w:r>
          </w:p>
          <w:p>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40</w:t>
            </w:r>
            <w:r>
              <w:rPr>
                <w:rFonts w:hint="eastAsia" w:ascii="宋体" w:hAnsi="宋体" w:cs="宋体"/>
                <w:color w:val="000000" w:themeColor="text1"/>
                <w:sz w:val="24"/>
                <w14:textFill>
                  <w14:solidFill>
                    <w14:schemeClr w14:val="tx1"/>
                  </w14:solidFill>
                </w14:textFill>
              </w:rPr>
              <w:t>分）</w:t>
            </w:r>
          </w:p>
        </w:tc>
        <w:tc>
          <w:tcPr>
            <w:tcW w:w="7147" w:type="dxa"/>
            <w:tcBorders>
              <w:tl2br w:val="nil"/>
              <w:tr2bl w:val="nil"/>
            </w:tcBorders>
            <w:vAlign w:val="center"/>
          </w:tcPr>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内容丰富、科学，表述准确，术语规范（</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选材适当，表现方式合理（</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语言简洁、生动，文字规范（</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素材选用恰当，结构合理（</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11" w:type="dxa"/>
            <w:tcBorders>
              <w:tl2br w:val="nil"/>
              <w:tr2bl w:val="nil"/>
            </w:tcBorders>
            <w:vAlign w:val="center"/>
          </w:tcPr>
          <w:p>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技术运用</w:t>
            </w:r>
          </w:p>
          <w:p>
            <w:pPr>
              <w:adjustRightInd w:val="0"/>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w:t>
            </w:r>
          </w:p>
        </w:tc>
        <w:tc>
          <w:tcPr>
            <w:tcW w:w="7147" w:type="dxa"/>
            <w:tcBorders>
              <w:tl2br w:val="nil"/>
              <w:tr2bl w:val="nil"/>
            </w:tcBorders>
            <w:vAlign w:val="center"/>
          </w:tcPr>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运行流畅，操作简便、快捷，媒体播放可控（</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导航方便合理，路径可选（</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新技术运用有效（</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11" w:type="dxa"/>
            <w:tcBorders>
              <w:tl2br w:val="nil"/>
              <w:tr2bl w:val="nil"/>
            </w:tcBorders>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创新与实用</w:t>
            </w:r>
          </w:p>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w:t>
            </w:r>
          </w:p>
        </w:tc>
        <w:tc>
          <w:tcPr>
            <w:tcW w:w="7147" w:type="dxa"/>
            <w:tcBorders>
              <w:tl2br w:val="nil"/>
              <w:tr2bl w:val="nil"/>
            </w:tcBorders>
          </w:tcPr>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立意新颖，具有想象力和个性表现力（</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能够运用于实际教学中，有推广价值（</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tc>
      </w:tr>
    </w:tbl>
    <w:p>
      <w:pPr>
        <w:snapToGrid w:val="0"/>
        <w:spacing w:line="324" w:lineRule="auto"/>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三、融合创新应用教学案例：</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指教师将信息技术作为教师组织与实施教学的工具和学生学习与认知的工具，融于教与学的过程，且教学成效明显的教学活动案例。</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（1）要求：须提交案例介绍文档、教学活动录像和相关材料。</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案例介绍文档可包括：教学环境设施与课程建设、教学应用情况、教学效果、教学成果、获奖情况、推广情况等。</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教学活动录像：反映创新教育教学情况，</w:t>
      </w:r>
      <w:r>
        <w:rPr>
          <w:rFonts w:hint="eastAsia" w:ascii="仿宋_GB2312" w:hAnsi="Calibri" w:eastAsia="仿宋_GB2312"/>
          <w:color w:val="000000" w:themeColor="text1"/>
          <w:sz w:val="32"/>
          <w:szCs w:val="32"/>
          <w14:textFill>
            <w14:solidFill>
              <w14:schemeClr w14:val="tx1"/>
            </w14:solidFill>
          </w14:textFill>
        </w:rPr>
        <w:t>针对案例特点，提供合适的教学活动录像，可以是具有代表性的单节课堂教学实录，也可以是围绕一个教学专题的多节课课堂教学片段剪辑而成的专题介绍视频</w:t>
      </w:r>
      <w:r>
        <w:rPr>
          <w:rFonts w:hint="eastAsia" w:ascii="仿宋_GB2312" w:eastAsia="仿宋_GB2312"/>
          <w:color w:val="000000" w:themeColor="text1"/>
          <w:sz w:val="32"/>
          <w:szCs w:val="32"/>
          <w14:textFill>
            <w14:solidFill>
              <w14:schemeClr w14:val="tx1"/>
            </w14:solidFill>
          </w14:textFill>
        </w:rPr>
        <w:t>。使用mp4等常用格式，时间总计不超过50分钟。</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相关材料：教学设计方案、课程资源等。</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（2）报送形式：作品以zip压缩包格式（含附件2）报送，总大小建议不超过700MB。</w:t>
      </w:r>
    </w:p>
    <w:p>
      <w:pPr>
        <w:snapToGrid w:val="0"/>
        <w:spacing w:line="324" w:lineRule="auto"/>
        <w:ind w:firstLine="627"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（3）评选标准</w:t>
      </w:r>
      <w:r>
        <w:rPr>
          <w:rFonts w:ascii="仿宋_GB2312" w:eastAsia="仿宋_GB2312"/>
          <w:color w:val="000000" w:themeColor="text1"/>
          <w:sz w:val="32"/>
          <w:szCs w:val="32"/>
          <w14:textFill>
            <w14:solidFill>
              <w14:schemeClr w14:val="tx1"/>
            </w14:solidFill>
          </w14:textFill>
        </w:rPr>
        <w:t>：</w:t>
      </w:r>
    </w:p>
    <w:tbl>
      <w:tblPr>
        <w:tblStyle w:val="9"/>
        <w:tblW w:w="90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66"/>
        <w:gridCol w:w="71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tblHeader/>
          <w:jc w:val="center"/>
        </w:trPr>
        <w:tc>
          <w:tcPr>
            <w:tcW w:w="1866" w:type="dxa"/>
            <w:tcBorders>
              <w:tl2br w:val="nil"/>
              <w:tr2bl w:val="nil"/>
            </w:tcBorders>
            <w:vAlign w:val="center"/>
          </w:tcPr>
          <w:p>
            <w:pPr>
              <w:adjustRightIn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评选指标</w:t>
            </w:r>
          </w:p>
        </w:tc>
        <w:tc>
          <w:tcPr>
            <w:tcW w:w="7192" w:type="dxa"/>
            <w:tcBorders>
              <w:tl2br w:val="nil"/>
              <w:tr2bl w:val="nil"/>
            </w:tcBorders>
            <w:vAlign w:val="center"/>
          </w:tcPr>
          <w:p>
            <w:pPr>
              <w:adjustRightIn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评选要素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20" w:hRule="atLeast"/>
          <w:jc w:val="center"/>
        </w:trPr>
        <w:tc>
          <w:tcPr>
            <w:tcW w:w="1866" w:type="dxa"/>
            <w:tcBorders>
              <w:tl2br w:val="nil"/>
              <w:tr2bl w:val="nil"/>
            </w:tcBorders>
            <w:vAlign w:val="center"/>
          </w:tcPr>
          <w:p>
            <w:pPr>
              <w:adjustRightInd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教学设计</w:t>
            </w:r>
          </w:p>
          <w:p>
            <w:pPr>
              <w:adjustRightInd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w:t>
            </w:r>
          </w:p>
        </w:tc>
        <w:tc>
          <w:tcPr>
            <w:tcW w:w="7192" w:type="dxa"/>
            <w:tcBorders>
              <w:tl2br w:val="nil"/>
              <w:tr2bl w:val="nil"/>
            </w:tcBorders>
            <w:vAlign w:val="center"/>
          </w:tcPr>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体现“以学习者为中心”的课程改革理念（</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教学设计完整，包括教学目标、教学内容、教学实施和教学评价等（</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教学环境设施满足需求，有特色，教学情境符合教学目标和对象的要求（</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教学资源选择恰当，形式多样（</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注重学科特点，信息技术应用恰当（</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2" w:hRule="atLeast"/>
          <w:jc w:val="center"/>
        </w:trPr>
        <w:tc>
          <w:tcPr>
            <w:tcW w:w="1866" w:type="dxa"/>
            <w:tcBorders>
              <w:tl2br w:val="nil"/>
              <w:tr2bl w:val="nil"/>
            </w:tcBorders>
            <w:vAlign w:val="center"/>
          </w:tcPr>
          <w:p>
            <w:pPr>
              <w:adjustRightInd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教学应用</w:t>
            </w:r>
          </w:p>
          <w:p>
            <w:pPr>
              <w:adjustRightInd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w:t>
            </w:r>
          </w:p>
        </w:tc>
        <w:tc>
          <w:tcPr>
            <w:tcW w:w="7192" w:type="dxa"/>
            <w:tcBorders>
              <w:tl2br w:val="nil"/>
              <w:tr2bl w:val="nil"/>
            </w:tcBorders>
            <w:vAlign w:val="center"/>
          </w:tcPr>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教学活动过程记录完整，材料齐全（</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教学方式多样（</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形成基于信息化的教育教学模式（</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90" w:hRule="atLeast"/>
          <w:jc w:val="center"/>
        </w:trPr>
        <w:tc>
          <w:tcPr>
            <w:tcW w:w="1866" w:type="dxa"/>
            <w:tcBorders>
              <w:tl2br w:val="nil"/>
              <w:tr2bl w:val="nil"/>
            </w:tcBorders>
            <w:vAlign w:val="center"/>
          </w:tcPr>
          <w:p>
            <w:pPr>
              <w:adjustRightInd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教学效果</w:t>
            </w:r>
          </w:p>
          <w:p>
            <w:pPr>
              <w:adjustRightInd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分）</w:t>
            </w:r>
          </w:p>
        </w:tc>
        <w:tc>
          <w:tcPr>
            <w:tcW w:w="7192" w:type="dxa"/>
            <w:tcBorders>
              <w:tl2br w:val="nil"/>
              <w:tr2bl w:val="nil"/>
            </w:tcBorders>
            <w:vAlign w:val="center"/>
          </w:tcPr>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有常态化应用，学生深度参与，活跃度高，教学效果突出（</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分）；</w:t>
            </w:r>
          </w:p>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教师、学生成果丰富，校内外评价好（</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p>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创新人才培养模式，提高学生的能力素质（</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trPr>
        <w:tc>
          <w:tcPr>
            <w:tcW w:w="1866" w:type="dxa"/>
            <w:tcBorders>
              <w:tl2br w:val="nil"/>
              <w:tr2bl w:val="nil"/>
            </w:tcBorders>
            <w:vAlign w:val="center"/>
          </w:tcPr>
          <w:p>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特色创新</w:t>
            </w:r>
          </w:p>
          <w:p>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w:t>
            </w:r>
          </w:p>
        </w:tc>
        <w:tc>
          <w:tcPr>
            <w:tcW w:w="7192" w:type="dxa"/>
            <w:tcBorders>
              <w:tl2br w:val="nil"/>
              <w:tr2bl w:val="nil"/>
            </w:tcBorders>
            <w:vAlign w:val="center"/>
          </w:tcPr>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在课程建设、教学实施、资源共享、机制创新等方面有特色（</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具有一定的示范推广价值（</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tc>
      </w:tr>
    </w:tbl>
    <w:p>
      <w:pPr>
        <w:snapToGrid w:val="0"/>
        <w:spacing w:line="324" w:lineRule="auto"/>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四、教师网络空间应用案例：</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指</w:t>
      </w:r>
      <w:r>
        <w:rPr>
          <w:rFonts w:hint="eastAsia" w:ascii="仿宋_GB2312" w:eastAsia="仿宋_GB2312"/>
          <w:color w:val="000000" w:themeColor="text1"/>
          <w:sz w:val="32"/>
          <w:szCs w:val="32"/>
          <w14:textFill>
            <w14:solidFill>
              <w14:schemeClr w14:val="tx1"/>
            </w14:solidFill>
          </w14:textFill>
        </w:rPr>
        <w:t>教师个人应用</w:t>
      </w:r>
      <w:r>
        <w:rPr>
          <w:rFonts w:ascii="仿宋_GB2312" w:eastAsia="仿宋_GB2312"/>
          <w:color w:val="000000" w:themeColor="text1"/>
          <w:sz w:val="32"/>
          <w:szCs w:val="32"/>
          <w14:textFill>
            <w14:solidFill>
              <w14:schemeClr w14:val="tx1"/>
            </w14:solidFill>
          </w14:textFill>
        </w:rPr>
        <w:t>国家数字教育资源公共服务体系</w:t>
      </w:r>
      <w:r>
        <w:rPr>
          <w:rFonts w:hint="eastAsia" w:ascii="仿宋_GB2312" w:eastAsia="仿宋_GB2312"/>
          <w:color w:val="000000" w:themeColor="text1"/>
          <w:sz w:val="32"/>
          <w:szCs w:val="32"/>
          <w14:textFill>
            <w14:solidFill>
              <w14:schemeClr w14:val="tx1"/>
            </w14:solidFill>
          </w14:textFill>
        </w:rPr>
        <w:t>内</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网络学习空间开展备课、教学活动组织、作业指导、辅导答疑、学情分析、网络研修等教育教学活动效果突出的案例。</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以学校、教研组、学科组等名义集体开展应用的案例，不在作品报送范围之内。</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（1）要求：提交通过文字、图片、音频、视频等各类素材制作的</w:t>
      </w:r>
      <w:r>
        <w:rPr>
          <w:rFonts w:ascii="仿宋_GB2312" w:eastAsia="仿宋_GB2312"/>
          <w:color w:val="000000" w:themeColor="text1"/>
          <w:sz w:val="32"/>
          <w:szCs w:val="32"/>
          <w14:textFill>
            <w14:solidFill>
              <w14:schemeClr w14:val="tx1"/>
            </w14:solidFill>
          </w14:textFill>
        </w:rPr>
        <w:t>PPT</w:t>
      </w:r>
      <w:r>
        <w:rPr>
          <w:rFonts w:hint="eastAsia" w:ascii="仿宋_GB2312" w:eastAsia="仿宋_GB2312"/>
          <w:color w:val="000000" w:themeColor="text1"/>
          <w:sz w:val="32"/>
          <w:szCs w:val="32"/>
          <w14:textFill>
            <w14:solidFill>
              <w14:schemeClr w14:val="tx1"/>
            </w14:solidFill>
          </w14:textFill>
        </w:rPr>
        <w:t>文档、教学活动录像和其他材料，综合反映教师网络空间的日常应用情况和应用效果，同时提交空间访问说明文档（含空间网址等）。</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（2）报送形式：作品以zip压缩包格式（含附件2）报送，总大小建议不超过700MB。</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（3）评选标准：</w:t>
      </w:r>
    </w:p>
    <w:tbl>
      <w:tblPr>
        <w:tblStyle w:val="9"/>
        <w:tblW w:w="90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95"/>
        <w:gridCol w:w="71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79" w:hRule="atLeast"/>
          <w:tblHeader/>
          <w:jc w:val="center"/>
        </w:trPr>
        <w:tc>
          <w:tcPr>
            <w:tcW w:w="1895" w:type="dxa"/>
            <w:tcBorders>
              <w:tl2br w:val="nil"/>
              <w:tr2bl w:val="nil"/>
            </w:tcBorders>
            <w:vAlign w:val="center"/>
          </w:tcPr>
          <w:p>
            <w:pPr>
              <w:adjustRightIn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评选指标</w:t>
            </w:r>
          </w:p>
        </w:tc>
        <w:tc>
          <w:tcPr>
            <w:tcW w:w="7163" w:type="dxa"/>
            <w:tcBorders>
              <w:tl2br w:val="nil"/>
              <w:tr2bl w:val="nil"/>
            </w:tcBorders>
            <w:vAlign w:val="center"/>
          </w:tcPr>
          <w:p>
            <w:pPr>
              <w:adjustRightIn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评选要素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895" w:type="dxa"/>
            <w:tcBorders>
              <w:tl2br w:val="nil"/>
              <w:tr2bl w:val="nil"/>
            </w:tcBorders>
            <w:vAlign w:val="center"/>
          </w:tcPr>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内容建设</w:t>
            </w:r>
          </w:p>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分）</w:t>
            </w:r>
          </w:p>
        </w:tc>
        <w:tc>
          <w:tcPr>
            <w:tcW w:w="7163" w:type="dxa"/>
            <w:tcBorders>
              <w:tl2br w:val="nil"/>
              <w:tr2bl w:val="nil"/>
            </w:tcBorders>
          </w:tcPr>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个性化设置合理，主题鲜明，特色突出（</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栏目内容丰富，记录完整，更新及时（</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原创性、生成性资源丰富，访问量大（</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895" w:type="dxa"/>
            <w:tcBorders>
              <w:tl2br w:val="nil"/>
              <w:tr2bl w:val="nil"/>
            </w:tcBorders>
            <w:vAlign w:val="center"/>
          </w:tcPr>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教学应用</w:t>
            </w:r>
          </w:p>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w:t>
            </w:r>
          </w:p>
        </w:tc>
        <w:tc>
          <w:tcPr>
            <w:tcW w:w="7163" w:type="dxa"/>
            <w:tcBorders>
              <w:tl2br w:val="nil"/>
              <w:tr2bl w:val="nil"/>
            </w:tcBorders>
          </w:tcPr>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备课、教研、教学等活动记录完整（</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备授课、活动组织实施、线上线下教学、班级管理、预习、作业、答疑、自主学习、分享心得等活动应用度高（</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师生、师师、生生交互好，促进交流共享（</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895" w:type="dxa"/>
            <w:tcBorders>
              <w:tl2br w:val="nil"/>
              <w:tr2bl w:val="nil"/>
            </w:tcBorders>
            <w:vAlign w:val="center"/>
          </w:tcPr>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应用效果</w:t>
            </w:r>
          </w:p>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w:t>
            </w:r>
          </w:p>
        </w:tc>
        <w:tc>
          <w:tcPr>
            <w:tcW w:w="7163" w:type="dxa"/>
            <w:tcBorders>
              <w:tl2br w:val="nil"/>
              <w:tr2bl w:val="nil"/>
            </w:tcBorders>
          </w:tcPr>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支撑常规教育教学活动，创新课堂教学模式有效果（</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成果丰富，能力素质教育成效高（</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满足学校、教师、学生教育教学和管理等各方面需求，家校沟通效果好（</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促进学校数字资源建设与共享（</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895"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特色创新</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w:t>
            </w:r>
          </w:p>
        </w:tc>
        <w:tc>
          <w:tcPr>
            <w:tcW w:w="7163" w:type="dxa"/>
            <w:tcBorders>
              <w:tl2br w:val="nil"/>
              <w:tr2bl w:val="nil"/>
            </w:tcBorders>
            <w:vAlign w:val="center"/>
          </w:tcPr>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在网络教研、网络教学、资源共享、教育管理、综合素质评价等某个或多个方面，形成了应用模式，有效促进教学方式和学习方式变革（</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w:t>
            </w:r>
          </w:p>
        </w:tc>
      </w:tr>
    </w:tbl>
    <w:p>
      <w:pPr>
        <w:snapToGrid w:val="0"/>
        <w:spacing w:line="540" w:lineRule="exact"/>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五、</w:t>
      </w:r>
      <w:r>
        <w:rPr>
          <w:rFonts w:ascii="黑体" w:hAnsi="黑体" w:eastAsia="黑体" w:cs="宋体"/>
          <w:color w:val="000000" w:themeColor="text1"/>
          <w:sz w:val="32"/>
          <w:szCs w:val="32"/>
          <w14:textFill>
            <w14:solidFill>
              <w14:schemeClr w14:val="tx1"/>
            </w14:solidFill>
          </w14:textFill>
        </w:rPr>
        <w:t>信息化教学课程案例</w:t>
      </w:r>
      <w:r>
        <w:rPr>
          <w:rFonts w:hint="eastAsia" w:ascii="黑体" w:hAnsi="黑体" w:eastAsia="黑体" w:cs="宋体"/>
          <w:color w:val="000000" w:themeColor="text1"/>
          <w:sz w:val="32"/>
          <w:szCs w:val="32"/>
          <w14:textFill>
            <w14:solidFill>
              <w14:schemeClr w14:val="tx1"/>
            </w14:solidFill>
          </w14:textFill>
        </w:rPr>
        <w:t>：</w:t>
      </w:r>
    </w:p>
    <w:p>
      <w:pPr>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指利用信息技术优化课程教学，转变学习方式，创新课堂教学模式，教育教学改革成效显著的案例。包括课堂教学、研究性教学、实验实训教学、见习实习教学等多种类型，采用混合教学或在线教学模式。鼓励</w:t>
      </w:r>
      <w:r>
        <w:rPr>
          <w:rFonts w:ascii="仿宋_GB2312" w:eastAsia="仿宋_GB2312"/>
          <w:color w:val="000000" w:themeColor="text1"/>
          <w:sz w:val="32"/>
          <w:szCs w:val="32"/>
          <w14:textFill>
            <w14:solidFill>
              <w14:schemeClr w14:val="tx1"/>
            </w14:solidFill>
          </w14:textFill>
        </w:rPr>
        <w:t>思政课</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教师教育类的信息化教学案例报送</w:t>
      </w:r>
      <w:r>
        <w:rPr>
          <w:rFonts w:hint="eastAsia" w:ascii="仿宋_GB2312" w:eastAsia="仿宋_GB2312"/>
          <w:color w:val="000000" w:themeColor="text1"/>
          <w:sz w:val="32"/>
          <w:szCs w:val="32"/>
          <w14:textFill>
            <w14:solidFill>
              <w14:schemeClr w14:val="tx1"/>
            </w14:solidFill>
          </w14:textFill>
        </w:rPr>
        <w:t>。</w:t>
      </w:r>
    </w:p>
    <w:p>
      <w:pPr>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（1）要求：须提交案例介绍文档、教学活动录像和相关材料。</w:t>
      </w:r>
    </w:p>
    <w:p>
      <w:pPr>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案例介绍文档可</w:t>
      </w:r>
      <w:r>
        <w:rPr>
          <w:rFonts w:hint="eastAsia" w:ascii="仿宋_GB2312" w:eastAsia="仿宋_GB2312"/>
          <w:color w:val="000000" w:themeColor="text1"/>
          <w:sz w:val="32"/>
          <w:szCs w:val="32"/>
          <w14:textFill>
            <w14:solidFill>
              <w14:schemeClr w14:val="tx1"/>
            </w14:solidFill>
          </w14:textFill>
        </w:rPr>
        <w:t>包括：课程建设与实施情况、教学效果、教学成果、获奖情况、推广情况等。</w:t>
      </w:r>
    </w:p>
    <w:p>
      <w:pPr>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教学活动录像</w:t>
      </w:r>
      <w:r>
        <w:rPr>
          <w:rFonts w:hint="eastAsia" w:ascii="仿宋_GB2312" w:eastAsia="仿宋_GB2312"/>
          <w:color w:val="000000" w:themeColor="text1"/>
          <w:sz w:val="32"/>
          <w:szCs w:val="32"/>
          <w14:textFill>
            <w14:solidFill>
              <w14:schemeClr w14:val="tx1"/>
            </w14:solidFill>
          </w14:textFill>
        </w:rPr>
        <w:t>：反映信息化课程教学情况，针对案例特点，提供合适的教学活动录像，可以是具有代表性的单节课堂教学实录、多节课堂片段剪辑、专题介绍视频等多种形式。使用mp</w:t>
      </w:r>
      <w:r>
        <w:rPr>
          <w:rFonts w:ascii="仿宋_GB2312" w:eastAsia="仿宋_GB2312"/>
          <w:color w:val="000000" w:themeColor="text1"/>
          <w:sz w:val="32"/>
          <w:szCs w:val="32"/>
          <w14:textFill>
            <w14:solidFill>
              <w14:schemeClr w14:val="tx1"/>
            </w14:solidFill>
          </w14:textFill>
        </w:rPr>
        <w:t>4等</w:t>
      </w:r>
      <w:r>
        <w:rPr>
          <w:rFonts w:hint="eastAsia" w:ascii="仿宋_GB2312" w:eastAsia="仿宋_GB2312"/>
          <w:color w:val="000000" w:themeColor="text1"/>
          <w:sz w:val="32"/>
          <w:szCs w:val="32"/>
          <w14:textFill>
            <w14:solidFill>
              <w14:schemeClr w14:val="tx1"/>
            </w14:solidFill>
          </w14:textFill>
        </w:rPr>
        <w:t>格式，</w:t>
      </w:r>
      <w:r>
        <w:rPr>
          <w:rFonts w:ascii="仿宋_GB2312" w:eastAsia="仿宋_GB2312"/>
          <w:color w:val="000000" w:themeColor="text1"/>
          <w:sz w:val="32"/>
          <w:szCs w:val="32"/>
          <w14:textFill>
            <w14:solidFill>
              <w14:schemeClr w14:val="tx1"/>
            </w14:solidFill>
          </w14:textFill>
        </w:rPr>
        <w:t>时间</w:t>
      </w:r>
      <w:r>
        <w:rPr>
          <w:rFonts w:hint="eastAsia" w:ascii="仿宋_GB2312" w:eastAsia="仿宋_GB2312"/>
          <w:color w:val="000000" w:themeColor="text1"/>
          <w:sz w:val="32"/>
          <w:szCs w:val="32"/>
          <w14:textFill>
            <w14:solidFill>
              <w14:schemeClr w14:val="tx1"/>
            </w14:solidFill>
          </w14:textFill>
        </w:rPr>
        <w:t>总计</w:t>
      </w:r>
      <w:r>
        <w:rPr>
          <w:rFonts w:ascii="仿宋_GB2312" w:eastAsia="仿宋_GB2312"/>
          <w:color w:val="000000" w:themeColor="text1"/>
          <w:sz w:val="32"/>
          <w:szCs w:val="32"/>
          <w14:textFill>
            <w14:solidFill>
              <w14:schemeClr w14:val="tx1"/>
            </w14:solidFill>
          </w14:textFill>
        </w:rPr>
        <w:t>不超过</w:t>
      </w:r>
      <w:r>
        <w:rPr>
          <w:rFonts w:hint="eastAsia" w:ascii="仿宋_GB2312" w:eastAsia="仿宋_GB2312"/>
          <w:color w:val="000000" w:themeColor="text1"/>
          <w:sz w:val="32"/>
          <w:szCs w:val="32"/>
          <w14:textFill>
            <w14:solidFill>
              <w14:schemeClr w14:val="tx1"/>
            </w14:solidFill>
          </w14:textFill>
        </w:rPr>
        <w:t>50分钟。</w:t>
      </w:r>
    </w:p>
    <w:p>
      <w:pPr>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相关材料：教学设计方案、课程资源等。</w:t>
      </w:r>
    </w:p>
    <w:p>
      <w:pPr>
        <w:numPr>
          <w:ilvl w:val="0"/>
          <w:numId w:val="1"/>
        </w:numPr>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报送形式：作品以zip压缩包格式（含附件2）报送，总大小建议不超过700MB。</w:t>
      </w:r>
    </w:p>
    <w:p>
      <w:pPr>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（3）评选标准：</w:t>
      </w:r>
    </w:p>
    <w:tbl>
      <w:tblPr>
        <w:tblStyle w:val="9"/>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092" w:type="dxa"/>
            <w:vAlign w:val="center"/>
          </w:tcPr>
          <w:p>
            <w:pPr>
              <w:adjustRightInd w:val="0"/>
              <w:jc w:val="center"/>
              <w:rPr>
                <w:rFonts w:ascii="宋体" w:hAnsi="宋体" w:cs="宋体"/>
                <w:b/>
                <w:color w:val="000000" w:themeColor="text1"/>
                <w:sz w:val="24"/>
                <w14:textFill>
                  <w14:solidFill>
                    <w14:schemeClr w14:val="tx1"/>
                  </w14:solidFill>
                </w14:textFill>
              </w:rPr>
            </w:pPr>
            <w:bookmarkStart w:id="3" w:name="_Hlk99628196"/>
            <w:r>
              <w:rPr>
                <w:rFonts w:hint="eastAsia" w:ascii="宋体" w:hAnsi="宋体" w:cs="宋体"/>
                <w:b/>
                <w:color w:val="000000" w:themeColor="text1"/>
                <w:sz w:val="24"/>
                <w14:textFill>
                  <w14:solidFill>
                    <w14:schemeClr w14:val="tx1"/>
                  </w14:solidFill>
                </w14:textFill>
              </w:rPr>
              <w:t>评选指标</w:t>
            </w:r>
          </w:p>
        </w:tc>
        <w:tc>
          <w:tcPr>
            <w:tcW w:w="6630" w:type="dxa"/>
            <w:vAlign w:val="center"/>
          </w:tcPr>
          <w:p>
            <w:pPr>
              <w:adjustRightIn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092" w:type="dxa"/>
            <w:vAlign w:val="center"/>
          </w:tcPr>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课程建设</w:t>
            </w:r>
          </w:p>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分）</w:t>
            </w:r>
          </w:p>
        </w:tc>
        <w:tc>
          <w:tcPr>
            <w:tcW w:w="6630" w:type="dxa"/>
          </w:tcPr>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信息化软硬件符合教育教学需求，有特色（</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课程建设、教学理念、内容、方法体现现代信息技术的运用（</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课程资源丰富，信息技术运用恰当（</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092" w:type="dxa"/>
            <w:vAlign w:val="center"/>
          </w:tcPr>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教学应用</w:t>
            </w:r>
          </w:p>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w:t>
            </w:r>
          </w:p>
        </w:tc>
        <w:tc>
          <w:tcPr>
            <w:tcW w:w="6630" w:type="dxa"/>
          </w:tcPr>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教学活动过程记录完整，材料齐全（</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信息技术与课程教学深度融合，转变学生学习方式（</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形成基于信息化的教育教学模式（</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092" w:type="dxa"/>
            <w:vAlign w:val="center"/>
          </w:tcPr>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教学效果</w:t>
            </w:r>
          </w:p>
          <w:p>
            <w:pPr>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分）</w:t>
            </w:r>
          </w:p>
        </w:tc>
        <w:tc>
          <w:tcPr>
            <w:tcW w:w="6630" w:type="dxa"/>
          </w:tcPr>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教学目标达成度高，学生深度参与，活跃度高（</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学生自主学习、合作学习、研究性学习等学习能力提升明显（</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学生、教师、学校评价好（</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09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特色创新</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w:t>
            </w:r>
          </w:p>
        </w:tc>
        <w:tc>
          <w:tcPr>
            <w:tcW w:w="6630" w:type="dxa"/>
            <w:vAlign w:val="center"/>
          </w:tcPr>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在课程建设、教学实施、资源共享、机制创新等方面有特色（</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pPr>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具有一定的示范推广价值（</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tc>
      </w:tr>
      <w:bookmarkEnd w:id="1"/>
      <w:bookmarkEnd w:id="3"/>
    </w:tbl>
    <w:p>
      <w:pPr>
        <w:snapToGrid w:val="0"/>
        <w:spacing w:line="324" w:lineRule="auto"/>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theme="minorBidi"/>
          <w:color w:val="000000" w:themeColor="text1"/>
          <w:sz w:val="32"/>
          <w:szCs w:val="32"/>
          <w14:textFill>
            <w14:solidFill>
              <w14:schemeClr w14:val="tx1"/>
            </w14:solidFill>
          </w14:textFill>
        </w:rPr>
        <w:t>六、</w:t>
      </w:r>
      <w:r>
        <w:rPr>
          <w:rFonts w:hint="eastAsia" w:ascii="黑体" w:hAnsi="黑体" w:eastAsia="黑体" w:cs="宋体"/>
          <w:color w:val="000000" w:themeColor="text1"/>
          <w:sz w:val="32"/>
          <w:szCs w:val="32"/>
          <w14:textFill>
            <w14:solidFill>
              <w14:schemeClr w14:val="tx1"/>
            </w14:solidFill>
          </w14:textFill>
        </w:rPr>
        <w:t>论文</w:t>
      </w:r>
    </w:p>
    <w:p>
      <w:pPr>
        <w:snapToGrid w:val="0"/>
        <w:spacing w:line="324"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详见湖北省第十七届“教育技术理论与实践”论文活动通知。</w:t>
      </w:r>
    </w:p>
    <w:p>
      <w:pPr>
        <w:widowControl/>
        <w:jc w:val="left"/>
        <w:rPr>
          <w:rFonts w:ascii="仿宋_GB2312" w:eastAsia="仿宋_GB2312"/>
          <w:color w:val="000000" w:themeColor="text1"/>
          <w:sz w:val="32"/>
          <w:szCs w:val="32"/>
          <w14:textFill>
            <w14:solidFill>
              <w14:schemeClr w14:val="tx1"/>
            </w14:solidFill>
          </w14:textFill>
        </w:rPr>
      </w:pPr>
      <w:bookmarkStart w:id="4" w:name="_GoBack"/>
      <w:bookmarkEnd w:id="4"/>
    </w:p>
    <w:sectPr>
      <w:footerReference r:id="rId3" w:type="default"/>
      <w:pgSz w:w="11906" w:h="16838"/>
      <w:pgMar w:top="2098" w:right="1531" w:bottom="1702"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4933315</wp:posOffset>
              </wp:positionH>
              <wp:positionV relativeFrom="paragraph">
                <wp:posOffset>-291465</wp:posOffset>
              </wp:positionV>
              <wp:extent cx="685800" cy="3454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5800" cy="345440"/>
                      </a:xfrm>
                      <a:prstGeom prst="rect">
                        <a:avLst/>
                      </a:prstGeom>
                      <a:noFill/>
                      <a:ln w="9525">
                        <a:noFill/>
                      </a:ln>
                    </wps:spPr>
                    <wps:txbx>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w:t>
                          </w:r>
                        </w:p>
                      </w:txbxContent>
                    </wps:txbx>
                    <wps:bodyPr wrap="square" lIns="0" tIns="0" rIns="0" bIns="0" upright="1"/>
                  </wps:wsp>
                </a:graphicData>
              </a:graphic>
            </wp:anchor>
          </w:drawing>
        </mc:Choice>
        <mc:Fallback>
          <w:pict>
            <v:shape id="_x0000_s1026" o:spid="_x0000_s1026" o:spt="202" type="#_x0000_t202" style="position:absolute;left:0pt;margin-left:388.45pt;margin-top:-22.95pt;height:27.2pt;width:54pt;mso-position-horizontal-relative:margin;z-index:251659264;mso-width-relative:page;mso-height-relative:page;" filled="f" stroked="f" coordsize="21600,21600" o:gfxdata="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Rr/ufYAAAACQEAAA8AAAAAAAAAAQAgAAAAIgAAAGRy&#10;cy9kb3ducmV2LnhtbFBLAQIUABQAAAAIAIdO4kBbSGUozAEAAIgDAAAOAAAAAAAAAAEAIAAAACcB&#10;AABkcnMvZTJvRG9jLnhtbFBLBQYAAAAABgAGAFkBAABlBQAAAAA=&#10;">
              <v:fill on="f" focussize="0,0"/>
              <v:stroke on="f"/>
              <v:imagedata o:title=""/>
              <o:lock v:ext="edit" aspectratio="f"/>
              <v:textbox inset="0mm,0mm,0mm,0mm">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82827"/>
    <w:multiLevelType w:val="singleLevel"/>
    <w:tmpl w:val="2238282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81"/>
    <w:rsid w:val="00003595"/>
    <w:rsid w:val="00007F83"/>
    <w:rsid w:val="00010723"/>
    <w:rsid w:val="00010B47"/>
    <w:rsid w:val="00016028"/>
    <w:rsid w:val="00016190"/>
    <w:rsid w:val="000272DF"/>
    <w:rsid w:val="000307A8"/>
    <w:rsid w:val="00032C61"/>
    <w:rsid w:val="00056F01"/>
    <w:rsid w:val="000622C7"/>
    <w:rsid w:val="00066A82"/>
    <w:rsid w:val="000769EF"/>
    <w:rsid w:val="000772E2"/>
    <w:rsid w:val="000813C7"/>
    <w:rsid w:val="00087FCB"/>
    <w:rsid w:val="00092B08"/>
    <w:rsid w:val="00096EDA"/>
    <w:rsid w:val="000A43E6"/>
    <w:rsid w:val="000A4DF1"/>
    <w:rsid w:val="000C049F"/>
    <w:rsid w:val="000C187D"/>
    <w:rsid w:val="000C61AD"/>
    <w:rsid w:val="000D2F26"/>
    <w:rsid w:val="000F2F37"/>
    <w:rsid w:val="001038EC"/>
    <w:rsid w:val="00110275"/>
    <w:rsid w:val="00111137"/>
    <w:rsid w:val="00123726"/>
    <w:rsid w:val="0013019D"/>
    <w:rsid w:val="0013195D"/>
    <w:rsid w:val="00132548"/>
    <w:rsid w:val="00141D6E"/>
    <w:rsid w:val="00143DFD"/>
    <w:rsid w:val="00143FF7"/>
    <w:rsid w:val="00171FCA"/>
    <w:rsid w:val="00177550"/>
    <w:rsid w:val="001830B6"/>
    <w:rsid w:val="001833BA"/>
    <w:rsid w:val="001875A2"/>
    <w:rsid w:val="00191308"/>
    <w:rsid w:val="00196910"/>
    <w:rsid w:val="001A7BC4"/>
    <w:rsid w:val="001B1009"/>
    <w:rsid w:val="001B4922"/>
    <w:rsid w:val="001C045E"/>
    <w:rsid w:val="001C2931"/>
    <w:rsid w:val="001C2A76"/>
    <w:rsid w:val="001C2E2B"/>
    <w:rsid w:val="001E0516"/>
    <w:rsid w:val="001E78AC"/>
    <w:rsid w:val="001F5DA8"/>
    <w:rsid w:val="001F61C5"/>
    <w:rsid w:val="00202163"/>
    <w:rsid w:val="00210F5C"/>
    <w:rsid w:val="00212A53"/>
    <w:rsid w:val="00213371"/>
    <w:rsid w:val="00230B12"/>
    <w:rsid w:val="002438E8"/>
    <w:rsid w:val="0025008D"/>
    <w:rsid w:val="00265FDF"/>
    <w:rsid w:val="002732BB"/>
    <w:rsid w:val="0027638C"/>
    <w:rsid w:val="002813F2"/>
    <w:rsid w:val="00293B74"/>
    <w:rsid w:val="00294653"/>
    <w:rsid w:val="0029708D"/>
    <w:rsid w:val="002A202C"/>
    <w:rsid w:val="002C476A"/>
    <w:rsid w:val="002D4283"/>
    <w:rsid w:val="002D4F28"/>
    <w:rsid w:val="002E5FE5"/>
    <w:rsid w:val="002F5654"/>
    <w:rsid w:val="003004AF"/>
    <w:rsid w:val="00300CCB"/>
    <w:rsid w:val="00301D25"/>
    <w:rsid w:val="00304DA9"/>
    <w:rsid w:val="003210B9"/>
    <w:rsid w:val="0033066E"/>
    <w:rsid w:val="00337E3C"/>
    <w:rsid w:val="0034092A"/>
    <w:rsid w:val="00342970"/>
    <w:rsid w:val="00343434"/>
    <w:rsid w:val="00345000"/>
    <w:rsid w:val="00346BAD"/>
    <w:rsid w:val="0034754E"/>
    <w:rsid w:val="003622F8"/>
    <w:rsid w:val="00371225"/>
    <w:rsid w:val="00373F8D"/>
    <w:rsid w:val="00377C8E"/>
    <w:rsid w:val="00377D6F"/>
    <w:rsid w:val="00380382"/>
    <w:rsid w:val="00380F3C"/>
    <w:rsid w:val="00384785"/>
    <w:rsid w:val="0039677C"/>
    <w:rsid w:val="003A66B1"/>
    <w:rsid w:val="003A7991"/>
    <w:rsid w:val="003B6617"/>
    <w:rsid w:val="003C4704"/>
    <w:rsid w:val="003C6BE1"/>
    <w:rsid w:val="003D0302"/>
    <w:rsid w:val="003E134C"/>
    <w:rsid w:val="003E4E6B"/>
    <w:rsid w:val="003F5F49"/>
    <w:rsid w:val="003F7F58"/>
    <w:rsid w:val="004024B5"/>
    <w:rsid w:val="0040265F"/>
    <w:rsid w:val="00402FAF"/>
    <w:rsid w:val="00403948"/>
    <w:rsid w:val="0040469F"/>
    <w:rsid w:val="00411803"/>
    <w:rsid w:val="00420491"/>
    <w:rsid w:val="00424784"/>
    <w:rsid w:val="004309B9"/>
    <w:rsid w:val="00432034"/>
    <w:rsid w:val="00437AB8"/>
    <w:rsid w:val="00441D9F"/>
    <w:rsid w:val="0045111D"/>
    <w:rsid w:val="00451D07"/>
    <w:rsid w:val="00454952"/>
    <w:rsid w:val="00456CE6"/>
    <w:rsid w:val="00456FDC"/>
    <w:rsid w:val="004669B4"/>
    <w:rsid w:val="00476E67"/>
    <w:rsid w:val="00484B4F"/>
    <w:rsid w:val="00490E7C"/>
    <w:rsid w:val="004A2189"/>
    <w:rsid w:val="004B13C8"/>
    <w:rsid w:val="004B26C2"/>
    <w:rsid w:val="004B2ECF"/>
    <w:rsid w:val="004C669C"/>
    <w:rsid w:val="004C75FE"/>
    <w:rsid w:val="004D0863"/>
    <w:rsid w:val="004D48C5"/>
    <w:rsid w:val="004E1ADE"/>
    <w:rsid w:val="004F2D0F"/>
    <w:rsid w:val="004F40F7"/>
    <w:rsid w:val="00503849"/>
    <w:rsid w:val="00506E8E"/>
    <w:rsid w:val="00507D3C"/>
    <w:rsid w:val="00510CAB"/>
    <w:rsid w:val="00517B30"/>
    <w:rsid w:val="00521BB8"/>
    <w:rsid w:val="00522315"/>
    <w:rsid w:val="00532E1D"/>
    <w:rsid w:val="00542834"/>
    <w:rsid w:val="00546E7F"/>
    <w:rsid w:val="00547ACB"/>
    <w:rsid w:val="00561B50"/>
    <w:rsid w:val="005627F1"/>
    <w:rsid w:val="00564BBA"/>
    <w:rsid w:val="0056644C"/>
    <w:rsid w:val="00567935"/>
    <w:rsid w:val="00570E32"/>
    <w:rsid w:val="00585D85"/>
    <w:rsid w:val="005942AE"/>
    <w:rsid w:val="00594B58"/>
    <w:rsid w:val="005A06AC"/>
    <w:rsid w:val="005A29CC"/>
    <w:rsid w:val="005A2D5E"/>
    <w:rsid w:val="005A2E4C"/>
    <w:rsid w:val="005A5FDD"/>
    <w:rsid w:val="005D2661"/>
    <w:rsid w:val="005D3685"/>
    <w:rsid w:val="005D7629"/>
    <w:rsid w:val="005E1BCD"/>
    <w:rsid w:val="005E6BF1"/>
    <w:rsid w:val="005F51BB"/>
    <w:rsid w:val="00604E4F"/>
    <w:rsid w:val="00611D0A"/>
    <w:rsid w:val="0061209F"/>
    <w:rsid w:val="00612E82"/>
    <w:rsid w:val="006131A3"/>
    <w:rsid w:val="006131DF"/>
    <w:rsid w:val="0061489E"/>
    <w:rsid w:val="00615E40"/>
    <w:rsid w:val="00625BE2"/>
    <w:rsid w:val="00641DEA"/>
    <w:rsid w:val="006453DA"/>
    <w:rsid w:val="006467DA"/>
    <w:rsid w:val="0064727E"/>
    <w:rsid w:val="0065749C"/>
    <w:rsid w:val="00660395"/>
    <w:rsid w:val="00691E87"/>
    <w:rsid w:val="00697652"/>
    <w:rsid w:val="006A2770"/>
    <w:rsid w:val="006A5D18"/>
    <w:rsid w:val="006A72F2"/>
    <w:rsid w:val="006C7412"/>
    <w:rsid w:val="006D0F5D"/>
    <w:rsid w:val="006D2AFB"/>
    <w:rsid w:val="006D3F4D"/>
    <w:rsid w:val="006E2B72"/>
    <w:rsid w:val="006E4723"/>
    <w:rsid w:val="006E48F6"/>
    <w:rsid w:val="006E7167"/>
    <w:rsid w:val="006E7C9F"/>
    <w:rsid w:val="006F26BD"/>
    <w:rsid w:val="00705A1B"/>
    <w:rsid w:val="00712908"/>
    <w:rsid w:val="00714934"/>
    <w:rsid w:val="00720370"/>
    <w:rsid w:val="007206A7"/>
    <w:rsid w:val="0073099C"/>
    <w:rsid w:val="00730F8B"/>
    <w:rsid w:val="00731DF7"/>
    <w:rsid w:val="007416B3"/>
    <w:rsid w:val="007560C0"/>
    <w:rsid w:val="00762A38"/>
    <w:rsid w:val="00772B13"/>
    <w:rsid w:val="00782991"/>
    <w:rsid w:val="00782A4F"/>
    <w:rsid w:val="007836C0"/>
    <w:rsid w:val="00791CF5"/>
    <w:rsid w:val="00792047"/>
    <w:rsid w:val="00792AC8"/>
    <w:rsid w:val="007943B9"/>
    <w:rsid w:val="00794DC3"/>
    <w:rsid w:val="00795F12"/>
    <w:rsid w:val="007965EC"/>
    <w:rsid w:val="00796F00"/>
    <w:rsid w:val="007A34DF"/>
    <w:rsid w:val="007D05AF"/>
    <w:rsid w:val="007D0F7D"/>
    <w:rsid w:val="007D4571"/>
    <w:rsid w:val="007D746D"/>
    <w:rsid w:val="007E36B8"/>
    <w:rsid w:val="007E5067"/>
    <w:rsid w:val="007F2446"/>
    <w:rsid w:val="0080286B"/>
    <w:rsid w:val="008030B2"/>
    <w:rsid w:val="00805BFF"/>
    <w:rsid w:val="00810628"/>
    <w:rsid w:val="0082438A"/>
    <w:rsid w:val="00824FF6"/>
    <w:rsid w:val="00826164"/>
    <w:rsid w:val="00830944"/>
    <w:rsid w:val="008309A2"/>
    <w:rsid w:val="00831723"/>
    <w:rsid w:val="00836ACB"/>
    <w:rsid w:val="00840D45"/>
    <w:rsid w:val="008464DA"/>
    <w:rsid w:val="00861CDA"/>
    <w:rsid w:val="008663DA"/>
    <w:rsid w:val="008701E1"/>
    <w:rsid w:val="008712B7"/>
    <w:rsid w:val="008801C3"/>
    <w:rsid w:val="0088039D"/>
    <w:rsid w:val="00882B84"/>
    <w:rsid w:val="008844E2"/>
    <w:rsid w:val="00894132"/>
    <w:rsid w:val="00895053"/>
    <w:rsid w:val="00896FDA"/>
    <w:rsid w:val="008A055A"/>
    <w:rsid w:val="008B038C"/>
    <w:rsid w:val="008B124C"/>
    <w:rsid w:val="008B2F97"/>
    <w:rsid w:val="008B4925"/>
    <w:rsid w:val="008B57AD"/>
    <w:rsid w:val="008C1FB6"/>
    <w:rsid w:val="008D0778"/>
    <w:rsid w:val="008D2183"/>
    <w:rsid w:val="008E0323"/>
    <w:rsid w:val="008E1121"/>
    <w:rsid w:val="008F00C4"/>
    <w:rsid w:val="008F69A1"/>
    <w:rsid w:val="00901CA9"/>
    <w:rsid w:val="00905C9C"/>
    <w:rsid w:val="00913C6A"/>
    <w:rsid w:val="00927021"/>
    <w:rsid w:val="0093457A"/>
    <w:rsid w:val="00936048"/>
    <w:rsid w:val="00942BB7"/>
    <w:rsid w:val="00950E45"/>
    <w:rsid w:val="00952257"/>
    <w:rsid w:val="00955E49"/>
    <w:rsid w:val="00961270"/>
    <w:rsid w:val="00965581"/>
    <w:rsid w:val="0097126E"/>
    <w:rsid w:val="00971B63"/>
    <w:rsid w:val="009A5114"/>
    <w:rsid w:val="009B06B9"/>
    <w:rsid w:val="009B4DC1"/>
    <w:rsid w:val="009C0B07"/>
    <w:rsid w:val="009C59AE"/>
    <w:rsid w:val="009D1308"/>
    <w:rsid w:val="009D60E1"/>
    <w:rsid w:val="009E495F"/>
    <w:rsid w:val="009E624A"/>
    <w:rsid w:val="009F16F9"/>
    <w:rsid w:val="009F7721"/>
    <w:rsid w:val="00A1090D"/>
    <w:rsid w:val="00A146C8"/>
    <w:rsid w:val="00A15040"/>
    <w:rsid w:val="00A151A1"/>
    <w:rsid w:val="00A1610C"/>
    <w:rsid w:val="00A16DB9"/>
    <w:rsid w:val="00A2068E"/>
    <w:rsid w:val="00A2381B"/>
    <w:rsid w:val="00A5210E"/>
    <w:rsid w:val="00A529AF"/>
    <w:rsid w:val="00A60481"/>
    <w:rsid w:val="00A61ACE"/>
    <w:rsid w:val="00A71E51"/>
    <w:rsid w:val="00A730AA"/>
    <w:rsid w:val="00A75611"/>
    <w:rsid w:val="00A769ED"/>
    <w:rsid w:val="00A835C3"/>
    <w:rsid w:val="00A862C5"/>
    <w:rsid w:val="00A96BA9"/>
    <w:rsid w:val="00AA0D1D"/>
    <w:rsid w:val="00AB1015"/>
    <w:rsid w:val="00AC1B4A"/>
    <w:rsid w:val="00AC50C6"/>
    <w:rsid w:val="00AD2CDF"/>
    <w:rsid w:val="00AD50F0"/>
    <w:rsid w:val="00AD69A8"/>
    <w:rsid w:val="00AD717C"/>
    <w:rsid w:val="00AE425A"/>
    <w:rsid w:val="00AE5824"/>
    <w:rsid w:val="00AE7BC7"/>
    <w:rsid w:val="00AF0588"/>
    <w:rsid w:val="00B123B0"/>
    <w:rsid w:val="00B1377E"/>
    <w:rsid w:val="00B13A36"/>
    <w:rsid w:val="00B21890"/>
    <w:rsid w:val="00B26173"/>
    <w:rsid w:val="00B34144"/>
    <w:rsid w:val="00B35261"/>
    <w:rsid w:val="00B4347D"/>
    <w:rsid w:val="00B434E8"/>
    <w:rsid w:val="00B51833"/>
    <w:rsid w:val="00B614CE"/>
    <w:rsid w:val="00B63ECC"/>
    <w:rsid w:val="00B75B09"/>
    <w:rsid w:val="00B76A58"/>
    <w:rsid w:val="00B8753F"/>
    <w:rsid w:val="00B955BB"/>
    <w:rsid w:val="00BA0449"/>
    <w:rsid w:val="00BA36F7"/>
    <w:rsid w:val="00BA50D4"/>
    <w:rsid w:val="00BA654A"/>
    <w:rsid w:val="00BB7F4E"/>
    <w:rsid w:val="00BC3F4D"/>
    <w:rsid w:val="00BC5E31"/>
    <w:rsid w:val="00BD2322"/>
    <w:rsid w:val="00BD4EB3"/>
    <w:rsid w:val="00BE35AF"/>
    <w:rsid w:val="00BF0D76"/>
    <w:rsid w:val="00BF1F9B"/>
    <w:rsid w:val="00BF3F36"/>
    <w:rsid w:val="00BF606E"/>
    <w:rsid w:val="00C0165B"/>
    <w:rsid w:val="00C01FF4"/>
    <w:rsid w:val="00C065A1"/>
    <w:rsid w:val="00C1182C"/>
    <w:rsid w:val="00C174DF"/>
    <w:rsid w:val="00C2304C"/>
    <w:rsid w:val="00C23C73"/>
    <w:rsid w:val="00C25C41"/>
    <w:rsid w:val="00C32A74"/>
    <w:rsid w:val="00C423FB"/>
    <w:rsid w:val="00C43E98"/>
    <w:rsid w:val="00C53F8A"/>
    <w:rsid w:val="00C631E8"/>
    <w:rsid w:val="00C66006"/>
    <w:rsid w:val="00C70903"/>
    <w:rsid w:val="00C71180"/>
    <w:rsid w:val="00C73F00"/>
    <w:rsid w:val="00C819AE"/>
    <w:rsid w:val="00C81E02"/>
    <w:rsid w:val="00C838CC"/>
    <w:rsid w:val="00C83A63"/>
    <w:rsid w:val="00C83ED4"/>
    <w:rsid w:val="00C84F39"/>
    <w:rsid w:val="00C94CBF"/>
    <w:rsid w:val="00C97EA6"/>
    <w:rsid w:val="00CB35D5"/>
    <w:rsid w:val="00CB3DF7"/>
    <w:rsid w:val="00CB44BB"/>
    <w:rsid w:val="00CC5A9C"/>
    <w:rsid w:val="00CC7E77"/>
    <w:rsid w:val="00CD4277"/>
    <w:rsid w:val="00CE7A77"/>
    <w:rsid w:val="00CF1237"/>
    <w:rsid w:val="00CF174C"/>
    <w:rsid w:val="00D015C4"/>
    <w:rsid w:val="00D044B4"/>
    <w:rsid w:val="00D04EC2"/>
    <w:rsid w:val="00D076A8"/>
    <w:rsid w:val="00D10855"/>
    <w:rsid w:val="00D15A32"/>
    <w:rsid w:val="00D17431"/>
    <w:rsid w:val="00D245DA"/>
    <w:rsid w:val="00D33C76"/>
    <w:rsid w:val="00D33C9B"/>
    <w:rsid w:val="00D37446"/>
    <w:rsid w:val="00D4321B"/>
    <w:rsid w:val="00D44683"/>
    <w:rsid w:val="00D468A3"/>
    <w:rsid w:val="00D52D5D"/>
    <w:rsid w:val="00D62645"/>
    <w:rsid w:val="00D66EE8"/>
    <w:rsid w:val="00D7108E"/>
    <w:rsid w:val="00D73B3A"/>
    <w:rsid w:val="00D73CCF"/>
    <w:rsid w:val="00D82F01"/>
    <w:rsid w:val="00D8457E"/>
    <w:rsid w:val="00D84FE3"/>
    <w:rsid w:val="00D87E5B"/>
    <w:rsid w:val="00D96297"/>
    <w:rsid w:val="00DA02DE"/>
    <w:rsid w:val="00DA383F"/>
    <w:rsid w:val="00DA610E"/>
    <w:rsid w:val="00DB11E4"/>
    <w:rsid w:val="00DB3853"/>
    <w:rsid w:val="00DB51AC"/>
    <w:rsid w:val="00DC35A2"/>
    <w:rsid w:val="00DC3F83"/>
    <w:rsid w:val="00DD0DD2"/>
    <w:rsid w:val="00DD1299"/>
    <w:rsid w:val="00DD18F5"/>
    <w:rsid w:val="00DD28DA"/>
    <w:rsid w:val="00DD75A3"/>
    <w:rsid w:val="00DE247F"/>
    <w:rsid w:val="00DE39A3"/>
    <w:rsid w:val="00DE46A3"/>
    <w:rsid w:val="00DF2964"/>
    <w:rsid w:val="00DF30E8"/>
    <w:rsid w:val="00DF32E2"/>
    <w:rsid w:val="00DF35E0"/>
    <w:rsid w:val="00DF4DFE"/>
    <w:rsid w:val="00E00D85"/>
    <w:rsid w:val="00E033BE"/>
    <w:rsid w:val="00E03B8B"/>
    <w:rsid w:val="00E12513"/>
    <w:rsid w:val="00E135EF"/>
    <w:rsid w:val="00E14349"/>
    <w:rsid w:val="00E15FDA"/>
    <w:rsid w:val="00E25EC3"/>
    <w:rsid w:val="00E260BF"/>
    <w:rsid w:val="00E54242"/>
    <w:rsid w:val="00E61D46"/>
    <w:rsid w:val="00E70C45"/>
    <w:rsid w:val="00E76422"/>
    <w:rsid w:val="00E9496A"/>
    <w:rsid w:val="00E95995"/>
    <w:rsid w:val="00E96B41"/>
    <w:rsid w:val="00EA12D5"/>
    <w:rsid w:val="00EA1D08"/>
    <w:rsid w:val="00EA4FD2"/>
    <w:rsid w:val="00EA6B8D"/>
    <w:rsid w:val="00EB2EA3"/>
    <w:rsid w:val="00EB6D6D"/>
    <w:rsid w:val="00ED3120"/>
    <w:rsid w:val="00ED5D2D"/>
    <w:rsid w:val="00EE0AAE"/>
    <w:rsid w:val="00EE13B3"/>
    <w:rsid w:val="00EE345E"/>
    <w:rsid w:val="00EF123C"/>
    <w:rsid w:val="00EF5BF3"/>
    <w:rsid w:val="00EF7B80"/>
    <w:rsid w:val="00F01F6D"/>
    <w:rsid w:val="00F23EA9"/>
    <w:rsid w:val="00F27A9E"/>
    <w:rsid w:val="00F34053"/>
    <w:rsid w:val="00F3441B"/>
    <w:rsid w:val="00F4754A"/>
    <w:rsid w:val="00F5527E"/>
    <w:rsid w:val="00F81AFF"/>
    <w:rsid w:val="00F82B47"/>
    <w:rsid w:val="00F84687"/>
    <w:rsid w:val="00F87808"/>
    <w:rsid w:val="00F91DF5"/>
    <w:rsid w:val="00FA3532"/>
    <w:rsid w:val="00FA3C4D"/>
    <w:rsid w:val="00FA5EDB"/>
    <w:rsid w:val="00FB0F50"/>
    <w:rsid w:val="00FB482B"/>
    <w:rsid w:val="00FD47C9"/>
    <w:rsid w:val="00FD7C17"/>
    <w:rsid w:val="00FE5E79"/>
    <w:rsid w:val="00FF040A"/>
    <w:rsid w:val="00FF1ACD"/>
    <w:rsid w:val="00FF23CE"/>
    <w:rsid w:val="04851B3C"/>
    <w:rsid w:val="0F4C4BDA"/>
    <w:rsid w:val="271C2455"/>
    <w:rsid w:val="283654EB"/>
    <w:rsid w:val="31E81E67"/>
    <w:rsid w:val="33B62686"/>
    <w:rsid w:val="4F094160"/>
    <w:rsid w:val="569B45AF"/>
    <w:rsid w:val="5A231150"/>
    <w:rsid w:val="6BC2191E"/>
    <w:rsid w:val="75CF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Lines="100"/>
      <w:outlineLvl w:val="0"/>
    </w:pPr>
    <w:rPr>
      <w:b/>
      <w:kern w:val="44"/>
      <w:sz w:val="24"/>
      <w:szCs w:val="20"/>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8"/>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字符"/>
    <w:basedOn w:val="11"/>
    <w:link w:val="2"/>
    <w:qFormat/>
    <w:uiPriority w:val="0"/>
    <w:rPr>
      <w:rFonts w:ascii="Times New Roman" w:hAnsi="Times New Roman" w:eastAsia="宋体" w:cs="Times New Roman"/>
      <w:b/>
      <w:kern w:val="44"/>
      <w:sz w:val="24"/>
      <w:szCs w:val="20"/>
    </w:rPr>
  </w:style>
  <w:style w:type="character" w:customStyle="1" w:styleId="14">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页眉 字符"/>
    <w:basedOn w:val="11"/>
    <w:link w:val="7"/>
    <w:qFormat/>
    <w:uiPriority w:val="99"/>
    <w:rPr>
      <w:rFonts w:ascii="Times New Roman" w:hAnsi="Times New Roman" w:eastAsia="宋体" w:cs="Times New Roman"/>
      <w:sz w:val="18"/>
      <w:szCs w:val="18"/>
    </w:rPr>
  </w:style>
  <w:style w:type="character" w:customStyle="1" w:styleId="17">
    <w:name w:val="页脚 字符"/>
    <w:basedOn w:val="11"/>
    <w:link w:val="6"/>
    <w:qFormat/>
    <w:uiPriority w:val="99"/>
    <w:rPr>
      <w:rFonts w:ascii="Times New Roman" w:hAnsi="Times New Roman" w:eastAsia="宋体" w:cs="Times New Roman"/>
      <w:sz w:val="18"/>
      <w:szCs w:val="18"/>
    </w:rPr>
  </w:style>
  <w:style w:type="character" w:customStyle="1" w:styleId="18">
    <w:name w:val="日期 字符"/>
    <w:basedOn w:val="11"/>
    <w:link w:val="4"/>
    <w:semiHidden/>
    <w:qFormat/>
    <w:uiPriority w:val="99"/>
    <w:rPr>
      <w:rFonts w:ascii="Times New Roman" w:hAnsi="Times New Roman" w:eastAsia="宋体" w:cs="Times New Roman"/>
      <w:szCs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9F3CC-F10A-4251-98F9-57B1536DFC6F}">
  <ds:schemaRefs/>
</ds:datastoreItem>
</file>

<file path=docProps/app.xml><?xml version="1.0" encoding="utf-8"?>
<Properties xmlns="http://schemas.openxmlformats.org/officeDocument/2006/extended-properties" xmlns:vt="http://schemas.openxmlformats.org/officeDocument/2006/docPropsVTypes">
  <Template>Normal</Template>
  <Pages>15</Pages>
  <Words>1207</Words>
  <Characters>6886</Characters>
  <Lines>57</Lines>
  <Paragraphs>16</Paragraphs>
  <TotalTime>121</TotalTime>
  <ScaleCrop>false</ScaleCrop>
  <LinksUpToDate>false</LinksUpToDate>
  <CharactersWithSpaces>8077</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2022-04-01T08:34:00Z</dcterms:created>
  <dc:creator>Jacky</dc:creator>
  <cp:lastModifiedBy>July</cp:lastModifiedBy>
  <cp:lastPrinted>2022-04-01T06:35:00Z</cp:lastPrinted>
  <dcterms:modified xsi:type="dcterms:W3CDTF">2022-04-12T02:28:58Z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1DBFE91F70724EE0ADAB18625D60091B</vt:lpwstr>
  </property>
</Properties>
</file>